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openxmlformats.org/officedocument/2006/relationships/metadata/core-properties" Target="docProps/core0.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0A9" w:rsidRDefault="00BA10A9">
      <w:pPr>
        <w:spacing w:after="0" w:line="240" w:lineRule="auto"/>
        <w:rPr>
          <w:rFonts w:ascii="Book Antiqua" w:hAnsi="Book Antiqua" w:cs="Book Antiqua"/>
          <w:sz w:val="24"/>
          <w:szCs w:val="24"/>
          <w:lang w:val="id-ID" w:eastAsia="en-US"/>
        </w:rPr>
      </w:pPr>
    </w:p>
    <w:p w:rsidR="00BA10A9" w:rsidRDefault="00BA10A9">
      <w:pPr>
        <w:spacing w:after="0" w:line="240" w:lineRule="auto"/>
        <w:rPr>
          <w:rFonts w:ascii="Book Antiqua" w:hAnsi="Book Antiqua" w:cs="Book Antiqua"/>
          <w:sz w:val="24"/>
          <w:szCs w:val="24"/>
          <w:lang w:val="id-ID" w:eastAsia="en-US"/>
        </w:rPr>
      </w:pPr>
    </w:p>
    <w:p w:rsidR="00BA10A9" w:rsidRDefault="00BA10A9">
      <w:pPr>
        <w:spacing w:after="0" w:line="240" w:lineRule="auto"/>
        <w:rPr>
          <w:rFonts w:ascii="Book Antiqua" w:hAnsi="Book Antiqua" w:cs="Book Antiqua"/>
          <w:sz w:val="24"/>
          <w:szCs w:val="24"/>
          <w:lang w:val="id-ID" w:eastAsia="en-US"/>
        </w:rPr>
      </w:pPr>
    </w:p>
    <w:p w:rsidR="00BA10A9" w:rsidRDefault="00BA10A9">
      <w:pPr>
        <w:spacing w:after="0" w:line="240" w:lineRule="auto"/>
        <w:rPr>
          <w:rFonts w:ascii="Book Antiqua" w:hAnsi="Book Antiqua" w:cs="Book Antiqua"/>
          <w:sz w:val="24"/>
          <w:szCs w:val="24"/>
          <w:lang w:val="id-ID" w:eastAsia="en-US"/>
        </w:rPr>
      </w:pPr>
    </w:p>
    <w:p w:rsidR="00BA10A9" w:rsidRDefault="0012717F">
      <w:pPr>
        <w:spacing w:after="0" w:line="240" w:lineRule="auto"/>
      </w:pPr>
      <w:r>
        <w:rPr>
          <w:noProof/>
          <w:lang w:eastAsia="en-US" w:bidi="ar-SA"/>
        </w:rPr>
        <w:drawing>
          <wp:anchor distT="0" distB="0" distL="114935" distR="114935" simplePos="0" relativeHeight="2" behindDoc="1" locked="0" layoutInCell="0" allowOverlap="1">
            <wp:simplePos x="0" y="0"/>
            <wp:positionH relativeFrom="column">
              <wp:posOffset>-21590</wp:posOffset>
            </wp:positionH>
            <wp:positionV relativeFrom="paragraph">
              <wp:posOffset>-724535</wp:posOffset>
            </wp:positionV>
            <wp:extent cx="5443855" cy="6350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srcRect l="-7" t="-57" r="-7" b="-57"/>
                    <a:stretch>
                      <a:fillRect/>
                    </a:stretch>
                  </pic:blipFill>
                  <pic:spPr bwMode="auto">
                    <a:xfrm>
                      <a:off x="0" y="0"/>
                      <a:ext cx="5443855" cy="635000"/>
                    </a:xfrm>
                    <a:prstGeom prst="rect">
                      <a:avLst/>
                    </a:prstGeom>
                  </pic:spPr>
                </pic:pic>
              </a:graphicData>
            </a:graphic>
          </wp:anchor>
        </w:drawing>
      </w:r>
      <w:r>
        <w:rPr>
          <w:rFonts w:ascii="Book Antiqua" w:hAnsi="Book Antiqua" w:cs="Book Antiqua"/>
          <w:sz w:val="24"/>
          <w:szCs w:val="24"/>
          <w:lang w:val="id-ID" w:eastAsia="en-US"/>
        </w:rPr>
        <w:t>Volume 1 Number 1, February-May 2019: Pp. 1-5</w:t>
      </w:r>
    </w:p>
    <w:p w:rsidR="00BA10A9" w:rsidRDefault="0012717F">
      <w:pPr>
        <w:spacing w:after="0" w:line="240" w:lineRule="auto"/>
        <w:rPr>
          <w:rFonts w:ascii="Book Antiqua" w:hAnsi="Book Antiqua" w:cs="Book Antiqua"/>
          <w:sz w:val="24"/>
          <w:szCs w:val="24"/>
          <w:lang w:val="id-ID" w:eastAsia="en-US" w:bidi="ar-SA"/>
        </w:rPr>
      </w:pPr>
      <w:r>
        <w:rPr>
          <w:noProof/>
          <w:lang w:eastAsia="en-US" w:bidi="ar-SA"/>
        </w:rPr>
        <w:drawing>
          <wp:anchor distT="0" distB="0" distL="114935" distR="114935" simplePos="0" relativeHeight="3" behindDoc="1" locked="0" layoutInCell="0" allowOverlap="1">
            <wp:simplePos x="0" y="0"/>
            <wp:positionH relativeFrom="column">
              <wp:posOffset>4253865</wp:posOffset>
            </wp:positionH>
            <wp:positionV relativeFrom="paragraph">
              <wp:posOffset>14605</wp:posOffset>
            </wp:positionV>
            <wp:extent cx="1168400" cy="47244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r:embed="rId8"/>
                    <a:srcRect l="-28" t="-77" r="-28" b="-77"/>
                    <a:stretch>
                      <a:fillRect/>
                    </a:stretch>
                  </pic:blipFill>
                  <pic:spPr bwMode="auto">
                    <a:xfrm>
                      <a:off x="0" y="0"/>
                      <a:ext cx="1168400" cy="472440"/>
                    </a:xfrm>
                    <a:prstGeom prst="rect">
                      <a:avLst/>
                    </a:prstGeom>
                  </pic:spPr>
                </pic:pic>
              </a:graphicData>
            </a:graphic>
          </wp:anchor>
        </w:drawing>
      </w:r>
      <w:r>
        <w:rPr>
          <w:rFonts w:ascii="Book Antiqua" w:hAnsi="Book Antiqua" w:cs="Book Antiqua"/>
          <w:sz w:val="24"/>
          <w:szCs w:val="24"/>
          <w:lang w:val="id-ID" w:eastAsia="en-US" w:bidi="ar-SA"/>
        </w:rPr>
        <w:t>Faculty of Law, State University of Gorontalo, City of Gorontalo, Indonesia</w:t>
      </w:r>
    </w:p>
    <w:p w:rsidR="00BA10A9" w:rsidRDefault="0012717F">
      <w:pPr>
        <w:spacing w:after="0" w:line="240" w:lineRule="auto"/>
        <w:rPr>
          <w:rFonts w:ascii="Book Antiqua" w:hAnsi="Book Antiqua" w:cs="Book Antiqua"/>
          <w:iCs/>
          <w:sz w:val="24"/>
          <w:szCs w:val="24"/>
          <w:lang w:val="id-ID" w:eastAsia="en-US" w:bidi="ar-SA"/>
        </w:rPr>
      </w:pPr>
      <w:r>
        <w:rPr>
          <w:rFonts w:ascii="Book Antiqua" w:eastAsia="Times New Roman" w:hAnsi="Book Antiqua" w:cs="Book Antiqua"/>
          <w:iCs/>
          <w:sz w:val="24"/>
          <w:szCs w:val="24"/>
          <w:lang w:val="id-ID" w:eastAsia="en-US"/>
        </w:rPr>
        <w:t>DOI:-</w:t>
      </w:r>
    </w:p>
    <w:p w:rsidR="00BA10A9" w:rsidRDefault="00AC3CD5">
      <w:pPr>
        <w:pBdr>
          <w:bottom w:val="thickThinMediumGap" w:sz="18" w:space="1" w:color="000000"/>
        </w:pBdr>
        <w:spacing w:after="0" w:line="240" w:lineRule="auto"/>
        <w:rPr>
          <w:rFonts w:ascii="Book Antiqua" w:hAnsi="Book Antiqua" w:cs="Book Antiqua"/>
          <w:sz w:val="24"/>
          <w:szCs w:val="24"/>
          <w:lang w:val="id-ID" w:eastAsia="en-US" w:bidi="ar-SA"/>
        </w:rPr>
      </w:pPr>
      <w:hyperlink r:id="rId9">
        <w:r w:rsidR="0012717F">
          <w:rPr>
            <w:rStyle w:val="Hyperlink"/>
            <w:rFonts w:ascii="Book Antiqua" w:hAnsi="Book Antiqua" w:cs="Book Antiqua"/>
            <w:color w:val="000000"/>
            <w:sz w:val="24"/>
            <w:szCs w:val="24"/>
            <w:lang w:val="id-ID" w:eastAsia="en-US" w:bidi="ar-SA"/>
          </w:rPr>
          <w:t>https://ejurnal.ung.ac.id/index.php/eslaw/index</w:t>
        </w:r>
      </w:hyperlink>
      <w:r w:rsidR="0012717F">
        <w:rPr>
          <w:rFonts w:ascii="Book Antiqua" w:hAnsi="Book Antiqua" w:cs="Book Antiqua"/>
          <w:sz w:val="24"/>
          <w:szCs w:val="24"/>
          <w:lang w:val="id-ID" w:eastAsia="en-US" w:bidi="ar-SA"/>
        </w:rPr>
        <w:t xml:space="preserve"> </w:t>
      </w:r>
    </w:p>
    <w:p w:rsidR="00BA10A9" w:rsidRDefault="00BA10A9">
      <w:pPr>
        <w:pBdr>
          <w:bottom w:val="thickThinMediumGap" w:sz="18" w:space="1" w:color="000000"/>
        </w:pBdr>
        <w:spacing w:after="0" w:line="240" w:lineRule="auto"/>
        <w:rPr>
          <w:rStyle w:val="Heading1Char"/>
          <w:rFonts w:ascii="Book Antiqua" w:eastAsia="Calibri" w:hAnsi="Book Antiqua" w:cs="Times New Roman"/>
          <w:sz w:val="24"/>
          <w:szCs w:val="24"/>
          <w:lang w:val="id-ID" w:eastAsia="en-US"/>
        </w:rPr>
      </w:pPr>
    </w:p>
    <w:p w:rsidR="00BA10A9" w:rsidRDefault="00BA10A9">
      <w:pPr>
        <w:pStyle w:val="Judul3"/>
        <w:spacing w:before="0" w:after="0" w:line="240" w:lineRule="auto"/>
        <w:jc w:val="center"/>
        <w:rPr>
          <w:rStyle w:val="Heading1Char"/>
          <w:rFonts w:ascii="Book Antiqua" w:hAnsi="Book Antiqua" w:cs="Calibri Light"/>
          <w:b/>
          <w:sz w:val="24"/>
          <w:lang w:val="id-ID" w:eastAsia="en-US"/>
        </w:rPr>
      </w:pPr>
    </w:p>
    <w:p w:rsidR="00BA10A9" w:rsidRDefault="0012717F">
      <w:pPr>
        <w:pStyle w:val="Judul3"/>
        <w:spacing w:before="0" w:after="0" w:line="240" w:lineRule="auto"/>
        <w:jc w:val="center"/>
        <w:rPr>
          <w:rStyle w:val="Heading1Char"/>
          <w:rFonts w:ascii="Book Antiqua" w:hAnsi="Book Antiqua" w:cs="Calibri Light"/>
          <w:b/>
          <w:sz w:val="36"/>
          <w:szCs w:val="36"/>
          <w:lang w:val="id-ID" w:eastAsia="en-US"/>
        </w:rPr>
      </w:pPr>
      <w:r>
        <w:rPr>
          <w:rFonts w:ascii="Book Antiqua" w:hAnsi="Book Antiqua" w:cs="Book Antiqua"/>
          <w:sz w:val="36"/>
          <w:szCs w:val="36"/>
          <w:lang w:val="id-ID" w:eastAsia="en-US"/>
        </w:rPr>
        <w:t>Mechanism of Rehabilitation Against Narcotics Abuse by Children</w:t>
      </w:r>
    </w:p>
    <w:p w:rsidR="00BA10A9" w:rsidRDefault="0012717F">
      <w:pPr>
        <w:pStyle w:val="Author"/>
        <w:spacing w:before="0" w:after="0"/>
        <w:jc w:val="center"/>
        <w:rPr>
          <w:rFonts w:ascii="Book Antiqua" w:hAnsi="Book Antiqua" w:cs="Book Antiqua"/>
          <w:b/>
          <w:lang w:val="id-ID" w:eastAsia="en-US"/>
        </w:rPr>
      </w:pPr>
      <w:r>
        <w:rPr>
          <w:rFonts w:ascii="Book Antiqua" w:hAnsi="Book Antiqua" w:cs="Book Antiqua"/>
          <w:b/>
          <w:lang w:val="id-ID" w:eastAsia="en-US"/>
        </w:rPr>
        <w:t>Ainun Kasim 1, Lisnawaty W. Badu</w:t>
      </w:r>
      <w:r>
        <w:rPr>
          <w:rFonts w:ascii="Book Antiqua" w:eastAsia="Times New Roman Bold;Times New" w:hAnsi="Book Antiqua" w:cs="Book Antiqua"/>
          <w:b/>
          <w:vertAlign w:val="superscript"/>
          <w:lang w:val="id-ID" w:eastAsia="en-US"/>
        </w:rPr>
        <w:t>2</w:t>
      </w:r>
      <w:r>
        <w:rPr>
          <w:rFonts w:ascii="Book Antiqua" w:eastAsia="Times New Roman Bold;Times New" w:hAnsi="Book Antiqua" w:cs="Book Antiqua"/>
          <w:b/>
          <w:lang w:val="id-ID" w:eastAsia="en-US"/>
        </w:rPr>
        <w:t>, Suwitno Y. Imran</w:t>
      </w:r>
      <w:r>
        <w:rPr>
          <w:rFonts w:ascii="Book Antiqua" w:hAnsi="Book Antiqua" w:cs="Book Antiqua"/>
          <w:b/>
          <w:vertAlign w:val="superscript"/>
          <w:lang w:val="id-ID" w:eastAsia="en-US"/>
        </w:rPr>
        <w:t>3</w:t>
      </w:r>
    </w:p>
    <w:p w:rsidR="00BA10A9" w:rsidRDefault="0012717F">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1</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hyperlink r:id="rId10">
        <w:r>
          <w:rPr>
            <w:rStyle w:val="Hyperlink"/>
            <w:rFonts w:ascii="Book Antiqua" w:hAnsi="Book Antiqua" w:cs="Book Antiqua"/>
            <w:i/>
            <w:sz w:val="16"/>
            <w:szCs w:val="16"/>
            <w:lang w:val="id-ID" w:eastAsia="en-US"/>
          </w:rPr>
          <w:t>ainunkasim2001@gmail.com</w:t>
        </w:r>
      </w:hyperlink>
      <w:r>
        <w:rPr>
          <w:rFonts w:ascii="Book Antiqua" w:hAnsi="Book Antiqua" w:cs="Book Antiqua"/>
          <w:i/>
          <w:sz w:val="16"/>
          <w:szCs w:val="16"/>
          <w:lang w:val="id-ID" w:eastAsia="en-US"/>
        </w:rPr>
        <w:t xml:space="preserve"> </w:t>
      </w:r>
    </w:p>
    <w:p w:rsidR="00BA10A9" w:rsidRDefault="0012717F">
      <w:pPr>
        <w:spacing w:after="0" w:line="240" w:lineRule="auto"/>
        <w:jc w:val="center"/>
        <w:rPr>
          <w:rStyle w:val="Hyperlink"/>
          <w:rFonts w:ascii="Book Antiqua" w:eastAsia="Times New Roman Bold;Times New" w:hAnsi="Book Antiqua" w:cs="Calibri Light"/>
          <w:i/>
          <w:iCs/>
          <w:color w:val="000000"/>
          <w:sz w:val="16"/>
          <w:szCs w:val="16"/>
          <w:u w:val="none"/>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2</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hyperlink r:id="rId11">
        <w:r>
          <w:rPr>
            <w:rStyle w:val="Hyperlink"/>
            <w:rFonts w:ascii="Book Antiqua" w:hAnsi="Book Antiqua" w:cs="Book Antiqua"/>
            <w:i/>
            <w:sz w:val="16"/>
            <w:szCs w:val="16"/>
            <w:lang w:val="id-ID" w:eastAsia="en-US"/>
          </w:rPr>
          <w:t>lisnawatybadu0@gmail.com</w:t>
        </w:r>
      </w:hyperlink>
      <w:r>
        <w:rPr>
          <w:rFonts w:ascii="Book Antiqua" w:hAnsi="Book Antiqua" w:cs="Book Antiqua"/>
          <w:i/>
          <w:sz w:val="16"/>
          <w:szCs w:val="16"/>
          <w:lang w:val="id-ID" w:eastAsia="en-US"/>
        </w:rPr>
        <w:t xml:space="preserve"> </w:t>
      </w:r>
    </w:p>
    <w:p w:rsidR="00BA10A9" w:rsidRDefault="0012717F">
      <w:pPr>
        <w:spacing w:after="0" w:line="240" w:lineRule="auto"/>
        <w:jc w:val="center"/>
        <w:rPr>
          <w:rFonts w:ascii="Book Antiqua" w:eastAsia="Times New Roman Bold;Times New" w:hAnsi="Book Antiqua" w:cs="Calibri Light"/>
          <w:i/>
          <w:iCs/>
          <w:sz w:val="16"/>
          <w:szCs w:val="16"/>
          <w:lang w:val="id-ID" w:eastAsia="en-US"/>
        </w:rPr>
      </w:pPr>
      <w:r>
        <w:rPr>
          <w:rStyle w:val="Hyperlink"/>
          <w:rFonts w:ascii="Book Antiqua" w:eastAsia="Times New Roman Bold;Times New" w:hAnsi="Book Antiqua" w:cs="Calibri Light"/>
          <w:i/>
          <w:iCs/>
          <w:color w:val="000000"/>
          <w:sz w:val="16"/>
          <w:szCs w:val="16"/>
          <w:u w:val="none"/>
          <w:vertAlign w:val="superscript"/>
          <w:lang w:val="id-ID" w:eastAsia="en-US"/>
        </w:rPr>
        <w:t>3</w:t>
      </w:r>
      <w:r>
        <w:rPr>
          <w:rStyle w:val="Hyperlink"/>
          <w:rFonts w:ascii="Book Antiqua" w:eastAsia="Times New Roman Bold;Times New" w:hAnsi="Book Antiqua" w:cs="Calibri Light"/>
          <w:i/>
          <w:iCs/>
          <w:color w:val="000000"/>
          <w:sz w:val="16"/>
          <w:szCs w:val="16"/>
          <w:u w:val="none"/>
          <w:lang w:val="id-ID" w:eastAsia="en-US"/>
        </w:rPr>
        <w:t>Faculty of Law, State University of Gorontalo, Indonesia. E-mail:</w:t>
      </w:r>
      <w:hyperlink r:id="rId12">
        <w:r>
          <w:rPr>
            <w:rStyle w:val="Hyperlink"/>
            <w:rFonts w:ascii="Book Antiqua" w:hAnsi="Book Antiqua" w:cs="Book Antiqua"/>
            <w:i/>
            <w:sz w:val="16"/>
            <w:szCs w:val="16"/>
            <w:lang w:val="id-ID" w:eastAsia="en-US"/>
          </w:rPr>
          <w:t>suwitno.imran@yahoo.co.id</w:t>
        </w:r>
      </w:hyperlink>
      <w:r>
        <w:rPr>
          <w:rStyle w:val="fontstyle01"/>
          <w:rFonts w:ascii="Book Antiqua" w:hAnsi="Book Antiqua" w:cs="Book Antiqua"/>
          <w:i/>
          <w:sz w:val="16"/>
          <w:szCs w:val="16"/>
          <w:lang w:val="id-ID" w:eastAsia="en-US"/>
        </w:rPr>
        <w:t xml:space="preserve"> </w:t>
      </w:r>
    </w:p>
    <w:p w:rsidR="00BA10A9" w:rsidRDefault="00BA10A9">
      <w:pPr>
        <w:pBdr>
          <w:bottom w:val="thickThinMediumGap" w:sz="18" w:space="1" w:color="000000"/>
        </w:pBdr>
        <w:spacing w:after="0"/>
        <w:rPr>
          <w:rStyle w:val="Hyperlink"/>
          <w:rFonts w:ascii="Book Antiqua" w:hAnsi="Book Antiqua" w:cs="Book Antiqua"/>
          <w:i/>
          <w:color w:val="000000"/>
          <w:sz w:val="16"/>
          <w:szCs w:val="16"/>
          <w:lang w:val="id-ID" w:eastAsia="en-US"/>
        </w:rPr>
      </w:pPr>
    </w:p>
    <w:p w:rsidR="00BA10A9" w:rsidRDefault="00BA10A9">
      <w:pPr>
        <w:spacing w:after="0"/>
        <w:jc w:val="both"/>
        <w:rPr>
          <w:rStyle w:val="Hyperlink"/>
          <w:rFonts w:ascii="Book Antiqua" w:hAnsi="Book Antiqua" w:cs="Book Antiqua"/>
          <w:b/>
          <w:i/>
          <w:color w:val="000000"/>
          <w:sz w:val="24"/>
          <w:szCs w:val="24"/>
          <w:lang w:eastAsia="en-US"/>
        </w:rPr>
      </w:pPr>
    </w:p>
    <w:p w:rsidR="00BA10A9" w:rsidRDefault="0012717F">
      <w:pPr>
        <w:spacing w:after="0" w:line="240" w:lineRule="auto"/>
        <w:jc w:val="both"/>
      </w:pPr>
      <w:r>
        <w:rPr>
          <w:rFonts w:ascii="Times New Roman" w:hAnsi="Times New Roman"/>
          <w:b/>
          <w:sz w:val="24"/>
          <w:szCs w:val="24"/>
          <w:lang w:val="id-ID" w:eastAsia="en-US"/>
        </w:rPr>
        <w:t>Abstract:</w:t>
      </w:r>
      <w:r>
        <w:rPr>
          <w:rFonts w:ascii="Book Antiqua" w:hAnsi="Book Antiqua" w:cs="Book Antiqua"/>
          <w:sz w:val="24"/>
          <w:szCs w:val="24"/>
        </w:rPr>
        <w:t>This study aims to determine and analyze how the implementation of Article 54 of Law Number 35 of 2009 concerning Narcotics, which is related to rehabilitation, especially for children who are not old enough. Then also to identify the efforts and obstacles faced in the process of implementing the rehabilitation.</w:t>
      </w:r>
    </w:p>
    <w:p w:rsidR="00BA10A9" w:rsidRDefault="0012717F">
      <w:pPr>
        <w:spacing w:after="0" w:line="240" w:lineRule="auto"/>
        <w:ind w:firstLine="720"/>
        <w:jc w:val="both"/>
        <w:rPr>
          <w:rFonts w:ascii="Book Antiqua" w:hAnsi="Book Antiqua" w:cs="Book Antiqua"/>
          <w:sz w:val="24"/>
          <w:szCs w:val="24"/>
        </w:rPr>
      </w:pPr>
      <w:r>
        <w:rPr>
          <w:rFonts w:ascii="Book Antiqua" w:hAnsi="Book Antiqua" w:cs="Book Antiqua"/>
          <w:sz w:val="24"/>
          <w:szCs w:val="24"/>
        </w:rPr>
        <w:t>This research is classified as empirical research, namely research using field data in the form of interviews with parties directly related to the object under study. The results of the study show that Article 54 of Law Number 35 of 2009 concerning Narcotics related to rehabilitation has not reached the maximum point in its implementation in Gorontalo Province. Rehabilitation in its implementation is hampered due to the lack of adequate facilities and infrastructure. Rehabilitation of children also becomes a little more difficult because of the difficulty of creating comfort for children while undergoing rehabilitation which ultimately causes the child and the child's parents to be less cooperative in the implementation of rehabilitation. Therefore,</w:t>
      </w:r>
    </w:p>
    <w:p w:rsidR="00BA10A9" w:rsidRDefault="0012717F">
      <w:pPr>
        <w:spacing w:after="0"/>
        <w:rPr>
          <w:rFonts w:ascii="Times New Roman" w:hAnsi="Times New Roman"/>
          <w:b/>
          <w:i/>
          <w:sz w:val="24"/>
          <w:szCs w:val="24"/>
        </w:rPr>
      </w:pPr>
      <w:r>
        <w:rPr>
          <w:rFonts w:ascii="Times New Roman" w:hAnsi="Times New Roman"/>
          <w:b/>
          <w:i/>
          <w:sz w:val="24"/>
          <w:szCs w:val="24"/>
        </w:rPr>
        <w:t>Keywords: Narcotics, Rehabilitation, Children, National Narcotics Agency</w:t>
      </w:r>
    </w:p>
    <w:p w:rsidR="00BA10A9" w:rsidRDefault="00BA10A9">
      <w:pPr>
        <w:pBdr>
          <w:bottom w:val="thickThinMediumGap" w:sz="18" w:space="1" w:color="000000"/>
        </w:pBdr>
        <w:spacing w:after="0"/>
        <w:rPr>
          <w:rFonts w:ascii="Book Antiqua" w:hAnsi="Book Antiqua" w:cs="Book Antiqua"/>
          <w:b/>
          <w:i/>
          <w:sz w:val="2"/>
          <w:szCs w:val="2"/>
          <w:lang w:eastAsia="en-US"/>
        </w:rPr>
      </w:pPr>
    </w:p>
    <w:p w:rsidR="00BA10A9" w:rsidRDefault="0012717F">
      <w:pPr>
        <w:spacing w:after="0" w:line="240" w:lineRule="auto"/>
        <w:rPr>
          <w:rFonts w:ascii="Book Antiqua" w:hAnsi="Book Antiqua" w:cs="Arial"/>
          <w:i/>
          <w:sz w:val="24"/>
          <w:szCs w:val="24"/>
          <w:lang w:val="id-ID" w:eastAsia="en-US"/>
        </w:rPr>
      </w:pPr>
      <w:r>
        <w:rPr>
          <w:rFonts w:ascii="Book Antiqua" w:hAnsi="Book Antiqua" w:cs="Arial"/>
          <w:i/>
          <w:sz w:val="24"/>
          <w:szCs w:val="24"/>
          <w:lang w:val="id-ID" w:eastAsia="en-US"/>
        </w:rPr>
        <w:t>© 2022 ESLAW. Faculty of Law, State University of Gorontalo</w:t>
      </w:r>
      <w:r>
        <w:br w:type="page"/>
      </w:r>
    </w:p>
    <w:p w:rsidR="00BA10A9" w:rsidRDefault="0012717F">
      <w:pPr>
        <w:pStyle w:val="DaftarParagraf"/>
        <w:numPr>
          <w:ilvl w:val="0"/>
          <w:numId w:val="6"/>
        </w:numPr>
        <w:spacing w:after="0" w:line="240" w:lineRule="auto"/>
        <w:rPr>
          <w:rFonts w:ascii="Book Antiqua" w:eastAsia="Arial Unicode MS" w:hAnsi="Book Antiqua" w:cs="Calibri Light"/>
          <w:b/>
          <w:sz w:val="28"/>
          <w:lang w:val="id-ID" w:eastAsia="en-US"/>
        </w:rPr>
      </w:pPr>
      <w:r>
        <w:rPr>
          <w:rFonts w:ascii="Book Antiqua" w:eastAsia="Arial Unicode MS" w:hAnsi="Book Antiqua" w:cs="Calibri Light"/>
          <w:b/>
          <w:sz w:val="28"/>
          <w:lang w:val="id-ID" w:eastAsia="en-US"/>
        </w:rPr>
        <w:t>Introduction</w:t>
      </w:r>
    </w:p>
    <w:p w:rsidR="00BA10A9" w:rsidRDefault="0012717F">
      <w:pPr>
        <w:pStyle w:val="DaftarParagraf"/>
        <w:spacing w:after="0" w:line="240" w:lineRule="auto"/>
        <w:ind w:left="0"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Narcotics in children and adolescents is a very dangerous phenomenon in our society. Narcotics used by children are indeed not as heavy as narcotics used by adults. The type of narcotic that is often used by children is an inhaled addictive substance (glue fox) known as ngelem. Gluing activities and other drug use are often shown by children on public roads. Not surprisingly, one of the chemicals used as a means to get drunk is consumed by minors, including elementary school (SD) students. Our daily life, even in society, to meet the needs of life there are often crimes and violations committed by certain people and people who threaten some members of society,</w:t>
      </w:r>
      <w:r>
        <w:rPr>
          <w:rStyle w:val="FootnoteAnchor"/>
          <w:rFonts w:ascii="Book Antiqua" w:hAnsi="Book Antiqua" w:cs="Book Antiqua"/>
          <w:sz w:val="24"/>
          <w:szCs w:val="24"/>
          <w:lang w:val="id-ID" w:eastAsia="en-US"/>
        </w:rPr>
        <w:footnoteReference w:id="1"/>
      </w:r>
    </w:p>
    <w:p w:rsidR="00BA10A9" w:rsidRDefault="0012717F">
      <w:pPr>
        <w:pStyle w:val="DaftarParagraf"/>
        <w:spacing w:after="0" w:line="240" w:lineRule="auto"/>
        <w:ind w:left="0" w:firstLine="720"/>
        <w:jc w:val="both"/>
      </w:pPr>
      <w:r>
        <w:rPr>
          <w:rFonts w:ascii="Book Antiqua" w:hAnsi="Book Antiqua" w:cs="Book Antiqua"/>
          <w:sz w:val="24"/>
          <w:szCs w:val="24"/>
          <w:lang w:val="id-ID" w:eastAsia="en-US"/>
        </w:rPr>
        <w:t>Because of this criminal act, there is a need for responsibility. The term liability in legal terminology is often also replaced by liability. Responsibility can be interpreted as a basic willingness to carry out what is an obligation.</w:t>
      </w:r>
      <w:r>
        <w:rPr>
          <w:rStyle w:val="FootnoteAnchor"/>
          <w:rFonts w:ascii="Book Antiqua" w:hAnsi="Book Antiqua" w:cs="Book Antiqua"/>
          <w:sz w:val="24"/>
          <w:szCs w:val="24"/>
          <w:lang w:val="id-ID" w:eastAsia="en-US"/>
        </w:rPr>
        <w:footnoteReference w:id="2"/>
      </w:r>
      <w:r>
        <w:rPr>
          <w:rFonts w:ascii="Book Antiqua" w:hAnsi="Book Antiqua" w:cs="Book Antiqua"/>
          <w:sz w:val="24"/>
          <w:szCs w:val="24"/>
          <w:lang w:val="id-ID" w:eastAsia="en-US"/>
        </w:rPr>
        <w:t>Local government is a subsystem of the government of the Unitary State of the Republic of Indonesia. Therefore, all the goals and ideals mandated by the opening of the 1945 Constitution of the Republic of Indonesia are also the ideals and goals of local governments that must be achieved.</w:t>
      </w:r>
      <w:r>
        <w:rPr>
          <w:rStyle w:val="FootnoteAnchor"/>
          <w:rFonts w:ascii="Book Antiqua" w:hAnsi="Book Antiqua" w:cs="Book Antiqua"/>
          <w:sz w:val="24"/>
          <w:szCs w:val="24"/>
          <w:lang w:val="id-ID" w:eastAsia="en-US"/>
        </w:rPr>
        <w:footnoteReference w:id="3"/>
      </w:r>
      <w:r>
        <w:rPr>
          <w:rFonts w:ascii="Book Antiqua" w:hAnsi="Book Antiqua" w:cs="Book Antiqua"/>
          <w:sz w:val="24"/>
          <w:szCs w:val="24"/>
          <w:lang w:val="id-ID" w:eastAsia="en-US"/>
        </w:rPr>
        <w:t xml:space="preserve"> </w:t>
      </w:r>
    </w:p>
    <w:p w:rsidR="00BA10A9" w:rsidRDefault="0012717F">
      <w:pPr>
        <w:pStyle w:val="DaftarParagraf"/>
        <w:spacing w:after="0" w:line="240" w:lineRule="auto"/>
        <w:ind w:left="0"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Toxic substances contained in inhaled glue can be dangerous, which can damage the brain causing other diseases such as Parkinson's and difficulty in learning something, muscle weakness, depression, crazy, stress, headaches and nosebleeds, and nerve damage. . Even the effects of gluing can also cause death. In addition, changes in the character of the child or teenager will be very clearly visible. Therefore, to prevent the worsening of the negative impacts caused by drug abuse, especially on children as the nation's next generation, it is necessary to handle drug addicts by way of rehabilitation. This is also supported in the Supreme Court Circular No. 04 of 2010 concerning the placement of abuse, victims of abuse, Narcotics addicts into medical rehabilitation and social rehabilitation institutions. As well as enacting the Act. No. 35 of 2009 on Narcotics replaces Law. No. 22 of 1997 concerning Narcotics and Law. No. 5 of 1997 concerning Psychotropics.</w:t>
      </w:r>
    </w:p>
    <w:p w:rsidR="00BA10A9" w:rsidRDefault="0012717F">
      <w:pPr>
        <w:pStyle w:val="DaftarParagraf"/>
        <w:spacing w:after="0" w:line="240" w:lineRule="auto"/>
        <w:ind w:left="0"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The form of seriousness in efforts to prevent and eradicate narcotics in terms of their circulation and abuse, through the Narcotics Law, the National Narcotics Agency was formed as confirmed in Article 64 of the Narcotics Law itself. Then in order to achieve the goal of establishing the agency, Article 70 formulates its duties and authorities, where in letter c it reads "to increase the capacity of medical rehabilitation institutions and social rehabilitation of Narcotics addicts, both organized by the government and the community". As part of the tasks formulated through the law, rehabilitation is automatically the responsibility of BNN in terms of guarding, paying attention to and controlling its implementation. However, since the declaration of the rehabilitation program for 100,000 Narcotics addicts in early 2015, not many people know where they can get rehabilitation services in their immediate environment. Efforts made to improve the availability of narcotics health services are quite important, but if there is abuse it will have a very dangerous impact because there will be dependence that is very detrimental to the user, therefore of course strict and careful control and supervision needs to be done.</w:t>
      </w:r>
      <w:r>
        <w:rPr>
          <w:rStyle w:val="FootnoteAnchor"/>
          <w:rFonts w:ascii="Book Antiqua" w:hAnsi="Book Antiqua" w:cs="Book Antiqua"/>
          <w:sz w:val="24"/>
          <w:szCs w:val="24"/>
          <w:lang w:val="id-ID" w:eastAsia="en-US"/>
        </w:rPr>
        <w:footnoteReference w:id="4"/>
      </w:r>
    </w:p>
    <w:p w:rsidR="00BA10A9" w:rsidRDefault="0012717F">
      <w:pPr>
        <w:spacing w:after="0" w:line="240" w:lineRule="auto"/>
        <w:ind w:firstLine="720"/>
        <w:jc w:val="both"/>
      </w:pPr>
      <w:r>
        <w:rPr>
          <w:rFonts w:ascii="Book Antiqua" w:hAnsi="Book Antiqua" w:cs="Book Antiqua"/>
          <w:sz w:val="24"/>
          <w:szCs w:val="24"/>
          <w:lang w:val="id-ID" w:eastAsia="en-US"/>
        </w:rPr>
        <w:t>According to Sudarto, the word narcotics comes from the Greek word "narke" which means "sedated so you don't feel anything", the establishment of the Indonesian Law in 1979 has revoked the laws and regulations governing narcotics, namely: Verdovende Middelen Ordonnatie (Staatsblad 1927 No. 278 Jo No. 536) and replaced it with the Law on Narcotics (Law No. 9 of 1976) which has now been revised by Law no. 35 of 2009. So narcotics can be equated with drugs.</w:t>
      </w:r>
      <w:r>
        <w:rPr>
          <w:rStyle w:val="FootnoteAnchor"/>
          <w:rFonts w:ascii="Book Antiqua" w:hAnsi="Book Antiqua" w:cs="Book Antiqua"/>
          <w:sz w:val="24"/>
          <w:szCs w:val="24"/>
          <w:lang w:val="id-ID" w:eastAsia="en-US"/>
        </w:rPr>
        <w:footnoteReference w:id="5"/>
      </w:r>
      <w:r>
        <w:rPr>
          <w:rFonts w:ascii="Book Antiqua" w:hAnsi="Book Antiqua" w:cs="Book Antiqua"/>
          <w:sz w:val="24"/>
          <w:szCs w:val="24"/>
          <w:lang w:val="id-ID" w:eastAsia="en-US"/>
        </w:rPr>
        <w:t>According to Article 1 point 1 of Law Number 35 of 2009 explains that the definition of Narcotics is a substance or drug derived from plants or non-plants, both synthetic and semi-synthetic, which can cause a decrease or change in consciousness, loss of taste, reduce to eliminate pain. , and can cause dependence, which is divided into groups as attached in this law.</w:t>
      </w:r>
    </w:p>
    <w:p w:rsidR="00BA10A9" w:rsidRDefault="0012717F">
      <w:pPr>
        <w:spacing w:line="240" w:lineRule="auto"/>
        <w:ind w:firstLine="720"/>
        <w:jc w:val="both"/>
      </w:pPr>
      <w:r>
        <w:rPr>
          <w:rFonts w:ascii="Book Antiqua" w:hAnsi="Book Antiqua" w:cs="Book Antiqua"/>
          <w:sz w:val="24"/>
          <w:szCs w:val="24"/>
          <w:lang w:val="id-ID" w:eastAsia="en-US"/>
        </w:rPr>
        <w:t>Narcotics have spread and become a common problem found in all regions in Indonesia, including the Gorontalo Province. Based on information from the National Narcotics Agency of Gorontalo Province, the number of narcotics users in Gorontalo Province refers to BNN RI data, so far it has reached 1.9 percent or as many as 10,244 people from the total population of Gorontalo Province. Even before 2017, users in the area reached 16,000 people, which made Gorontalo the 5th largest user in Indonesia</w:t>
      </w:r>
      <w:r>
        <w:rPr>
          <w:rFonts w:ascii="Book Antiqua" w:hAnsi="Book Antiqua" w:cs="Book Antiqua"/>
          <w:color w:val="000000"/>
          <w:sz w:val="24"/>
          <w:szCs w:val="24"/>
          <w:shd w:val="clear" w:color="auto" w:fill="FFFFFF"/>
          <w:lang w:val="id-ID" w:eastAsia="en-US"/>
        </w:rPr>
        <w:t>.</w:t>
      </w:r>
      <w:r>
        <w:rPr>
          <w:rStyle w:val="FootnoteAnchor"/>
          <w:rFonts w:ascii="Book Antiqua" w:hAnsi="Book Antiqua" w:cs="Book Antiqua"/>
          <w:color w:val="000000"/>
          <w:sz w:val="24"/>
          <w:szCs w:val="24"/>
          <w:shd w:val="clear" w:color="auto" w:fill="FFFFFF"/>
          <w:lang w:val="id-ID" w:eastAsia="en-US"/>
        </w:rPr>
        <w:footnoteReference w:id="6"/>
      </w:r>
      <w:r>
        <w:rPr>
          <w:rFonts w:ascii="Book Antiqua" w:hAnsi="Book Antiqua" w:cs="Book Antiqua"/>
          <w:color w:val="000000"/>
          <w:sz w:val="24"/>
          <w:szCs w:val="24"/>
          <w:shd w:val="clear" w:color="auto" w:fill="FFFFFF"/>
          <w:lang w:val="id-ID" w:eastAsia="en-US"/>
        </w:rPr>
        <w:t>The data also includes children who are not old enough, where the 2019 narcotics case in Gorontalo was dominated by students. Of the 110 users handled by the National Narcotics Agency (BNN) of Gorontalo Province, as many as 69 people are classified as students. The existence of students as dominant narcotics abusers in Gorontalo Province then sparked curiosity regarding the implementation of rehabilitation for them, because age determines their mental condition which in turn will distinguish the mechanism and pattern of rehabilitation itself, both medically and socially. The following is the data obtained by the author:</w:t>
      </w:r>
    </w:p>
    <w:p w:rsidR="00BA10A9" w:rsidRDefault="0012717F">
      <w:pPr>
        <w:spacing w:after="0" w:line="240" w:lineRule="auto"/>
        <w:jc w:val="center"/>
      </w:pPr>
      <w:r>
        <w:t>Table 1.</w:t>
      </w:r>
    </w:p>
    <w:tbl>
      <w:tblPr>
        <w:tblW w:w="9039" w:type="dxa"/>
        <w:jc w:val="center"/>
        <w:tblLayout w:type="fixed"/>
        <w:tblLook w:val="0000" w:firstRow="0" w:lastRow="0" w:firstColumn="0" w:lastColumn="0" w:noHBand="0" w:noVBand="0"/>
      </w:tblPr>
      <w:tblGrid>
        <w:gridCol w:w="610"/>
        <w:gridCol w:w="936"/>
        <w:gridCol w:w="1016"/>
        <w:gridCol w:w="582"/>
        <w:gridCol w:w="582"/>
        <w:gridCol w:w="602"/>
        <w:gridCol w:w="602"/>
        <w:gridCol w:w="457"/>
        <w:gridCol w:w="957"/>
        <w:gridCol w:w="750"/>
        <w:gridCol w:w="790"/>
        <w:gridCol w:w="576"/>
        <w:gridCol w:w="579"/>
      </w:tblGrid>
      <w:tr w:rsidR="00BA10A9" w:rsidTr="008A00A8">
        <w:trPr>
          <w:trHeight w:val="702"/>
          <w:jc w:val="center"/>
        </w:trPr>
        <w:tc>
          <w:tcPr>
            <w:tcW w:w="610" w:type="dxa"/>
            <w:vMerge w:val="restart"/>
            <w:tcBorders>
              <w:top w:val="single" w:sz="4" w:space="0" w:color="000000"/>
            </w:tcBorders>
            <w:vAlign w:val="center"/>
          </w:tcPr>
          <w:p w:rsidR="00BA10A9" w:rsidRDefault="0012717F">
            <w:pPr>
              <w:spacing w:after="0" w:line="240" w:lineRule="auto"/>
              <w:rPr>
                <w:rFonts w:ascii="Book Antiqua" w:hAnsi="Book Antiqua" w:cs="Book Antiqua"/>
                <w:b/>
                <w:bCs/>
                <w:sz w:val="24"/>
                <w:szCs w:val="24"/>
                <w:lang w:val="id-ID" w:eastAsia="en-US"/>
              </w:rPr>
            </w:pPr>
            <w:r>
              <w:rPr>
                <w:rFonts w:ascii="Book Antiqua" w:hAnsi="Book Antiqua" w:cs="Book Antiqua"/>
                <w:b/>
                <w:bCs/>
                <w:sz w:val="24"/>
                <w:szCs w:val="24"/>
                <w:lang w:val="id-ID" w:eastAsia="en-US"/>
              </w:rPr>
              <w:t>No.</w:t>
            </w:r>
          </w:p>
        </w:tc>
        <w:tc>
          <w:tcPr>
            <w:tcW w:w="936" w:type="dxa"/>
            <w:vMerge w:val="restart"/>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Year</w:t>
            </w:r>
          </w:p>
        </w:tc>
        <w:tc>
          <w:tcPr>
            <w:tcW w:w="1016" w:type="dxa"/>
            <w:vMerge w:val="restart"/>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sidRPr="008A00A8">
              <w:rPr>
                <w:rFonts w:ascii="Book Antiqua" w:hAnsi="Book Antiqua" w:cs="Book Antiqua"/>
                <w:b/>
                <w:bCs/>
                <w:sz w:val="18"/>
                <w:szCs w:val="24"/>
                <w:lang w:val="id-ID" w:eastAsia="en-US"/>
              </w:rPr>
              <w:t>Number of Patients</w:t>
            </w:r>
          </w:p>
        </w:tc>
        <w:tc>
          <w:tcPr>
            <w:tcW w:w="1164" w:type="dxa"/>
            <w:gridSpan w:val="2"/>
            <w:tcBorders>
              <w:top w:val="single" w:sz="4" w:space="0" w:color="000000"/>
              <w:bottom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b/>
                <w:bCs/>
                <w:sz w:val="24"/>
                <w:szCs w:val="24"/>
                <w:lang w:val="id-ID" w:eastAsia="en-US"/>
              </w:rPr>
              <w:t>Gender</w:t>
            </w:r>
          </w:p>
        </w:tc>
        <w:tc>
          <w:tcPr>
            <w:tcW w:w="1661" w:type="dxa"/>
            <w:gridSpan w:val="3"/>
            <w:tcBorders>
              <w:top w:val="single" w:sz="4" w:space="0" w:color="000000"/>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Age</w:t>
            </w:r>
          </w:p>
        </w:tc>
        <w:tc>
          <w:tcPr>
            <w:tcW w:w="3652" w:type="dxa"/>
            <w:gridSpan w:val="5"/>
            <w:tcBorders>
              <w:top w:val="single" w:sz="4" w:space="0" w:color="000000"/>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Education</w:t>
            </w:r>
          </w:p>
          <w:p w:rsidR="00BA10A9" w:rsidRDefault="00BA10A9">
            <w:pPr>
              <w:spacing w:after="0" w:line="240" w:lineRule="auto"/>
              <w:jc w:val="center"/>
              <w:rPr>
                <w:rFonts w:ascii="Book Antiqua" w:hAnsi="Book Antiqua" w:cs="Book Antiqua"/>
                <w:b/>
                <w:bCs/>
                <w:sz w:val="24"/>
                <w:szCs w:val="24"/>
                <w:lang w:val="id-ID" w:eastAsia="en-US"/>
              </w:rPr>
            </w:pPr>
          </w:p>
        </w:tc>
      </w:tr>
      <w:tr w:rsidR="00BA10A9" w:rsidTr="008A00A8">
        <w:trPr>
          <w:trHeight w:val="1990"/>
          <w:jc w:val="center"/>
        </w:trPr>
        <w:tc>
          <w:tcPr>
            <w:tcW w:w="610" w:type="dxa"/>
            <w:vMerge/>
            <w:tcBorders>
              <w:top w:val="single" w:sz="4" w:space="0" w:color="000000"/>
            </w:tcBorders>
            <w:vAlign w:val="center"/>
          </w:tcPr>
          <w:p w:rsidR="00BA10A9" w:rsidRDefault="00BA10A9">
            <w:pPr>
              <w:snapToGrid w:val="0"/>
              <w:spacing w:after="0" w:line="240" w:lineRule="auto"/>
              <w:jc w:val="center"/>
              <w:rPr>
                <w:rFonts w:ascii="Book Antiqua" w:hAnsi="Book Antiqua" w:cs="Book Antiqua"/>
                <w:sz w:val="24"/>
                <w:szCs w:val="24"/>
                <w:lang w:val="id-ID" w:eastAsia="en-US"/>
              </w:rPr>
            </w:pPr>
          </w:p>
        </w:tc>
        <w:tc>
          <w:tcPr>
            <w:tcW w:w="936" w:type="dxa"/>
            <w:vMerge/>
            <w:tcBorders>
              <w:top w:val="single" w:sz="4" w:space="0" w:color="000000"/>
            </w:tcBorders>
            <w:vAlign w:val="center"/>
          </w:tcPr>
          <w:p w:rsidR="00BA10A9" w:rsidRDefault="00BA10A9">
            <w:pPr>
              <w:snapToGrid w:val="0"/>
              <w:spacing w:after="0" w:line="240" w:lineRule="auto"/>
              <w:jc w:val="center"/>
              <w:rPr>
                <w:rFonts w:ascii="Book Antiqua" w:hAnsi="Book Antiqua" w:cs="Book Antiqua"/>
                <w:sz w:val="24"/>
                <w:szCs w:val="24"/>
                <w:lang w:val="id-ID" w:eastAsia="en-US"/>
              </w:rPr>
            </w:pPr>
          </w:p>
        </w:tc>
        <w:tc>
          <w:tcPr>
            <w:tcW w:w="1016" w:type="dxa"/>
            <w:vMerge/>
            <w:tcBorders>
              <w:top w:val="single" w:sz="4" w:space="0" w:color="000000"/>
            </w:tcBorders>
            <w:vAlign w:val="center"/>
          </w:tcPr>
          <w:p w:rsidR="00BA10A9" w:rsidRDefault="00BA10A9">
            <w:pPr>
              <w:snapToGrid w:val="0"/>
              <w:spacing w:after="0" w:line="240" w:lineRule="auto"/>
              <w:jc w:val="center"/>
              <w:rPr>
                <w:rFonts w:ascii="Book Antiqua" w:hAnsi="Book Antiqua" w:cs="Book Antiqua"/>
                <w:sz w:val="24"/>
                <w:szCs w:val="24"/>
                <w:lang w:val="id-ID" w:eastAsia="en-US"/>
              </w:rPr>
            </w:pPr>
          </w:p>
        </w:tc>
        <w:tc>
          <w:tcPr>
            <w:tcW w:w="582"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L</w:t>
            </w:r>
          </w:p>
        </w:tc>
        <w:tc>
          <w:tcPr>
            <w:tcW w:w="582"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P</w:t>
            </w:r>
          </w:p>
        </w:tc>
        <w:tc>
          <w:tcPr>
            <w:tcW w:w="602"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&lt;18</w:t>
            </w:r>
          </w:p>
        </w:tc>
        <w:tc>
          <w:tcPr>
            <w:tcW w:w="602"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&gt;18</w:t>
            </w:r>
          </w:p>
        </w:tc>
        <w:tc>
          <w:tcPr>
            <w:tcW w:w="457"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&gt;60</w:t>
            </w:r>
          </w:p>
        </w:tc>
        <w:tc>
          <w:tcPr>
            <w:tcW w:w="957" w:type="dxa"/>
            <w:tcBorders>
              <w:top w:val="single" w:sz="4" w:space="0" w:color="000000"/>
            </w:tcBorders>
            <w:vAlign w:val="center"/>
          </w:tcPr>
          <w:p w:rsidR="00BA10A9" w:rsidRPr="008A00A8" w:rsidRDefault="008A00A8">
            <w:pPr>
              <w:spacing w:after="0" w:line="240" w:lineRule="auto"/>
              <w:jc w:val="center"/>
              <w:rPr>
                <w:rFonts w:ascii="Book Antiqua" w:hAnsi="Book Antiqua" w:cs="Book Antiqua"/>
                <w:b/>
                <w:bCs/>
                <w:sz w:val="12"/>
                <w:szCs w:val="24"/>
                <w:lang w:val="en-ID" w:eastAsia="en-US"/>
              </w:rPr>
            </w:pPr>
            <w:r w:rsidRPr="008A00A8">
              <w:rPr>
                <w:rFonts w:ascii="Book Antiqua" w:hAnsi="Book Antiqua" w:cs="Book Antiqua"/>
                <w:b/>
                <w:bCs/>
                <w:sz w:val="12"/>
                <w:szCs w:val="24"/>
                <w:lang w:val="id-ID" w:eastAsia="en-US"/>
              </w:rPr>
              <w:t>Ele</w:t>
            </w:r>
            <w:r w:rsidRPr="008A00A8">
              <w:rPr>
                <w:rFonts w:ascii="Book Antiqua" w:hAnsi="Book Antiqua" w:cs="Book Antiqua"/>
                <w:b/>
                <w:bCs/>
                <w:sz w:val="12"/>
                <w:szCs w:val="24"/>
                <w:lang w:val="en-ID" w:eastAsia="en-US"/>
              </w:rPr>
              <w:t>mentary</w:t>
            </w:r>
          </w:p>
          <w:p w:rsidR="008A00A8" w:rsidRPr="008A00A8" w:rsidRDefault="008A00A8">
            <w:pPr>
              <w:spacing w:after="0" w:line="240" w:lineRule="auto"/>
              <w:jc w:val="center"/>
              <w:rPr>
                <w:rFonts w:ascii="Book Antiqua" w:hAnsi="Book Antiqua" w:cs="Book Antiqua"/>
                <w:b/>
                <w:bCs/>
                <w:sz w:val="24"/>
                <w:szCs w:val="24"/>
                <w:lang w:val="en-ID" w:eastAsia="en-US"/>
              </w:rPr>
            </w:pPr>
            <w:r w:rsidRPr="008A00A8">
              <w:rPr>
                <w:rFonts w:ascii="Book Antiqua" w:hAnsi="Book Antiqua" w:cs="Book Antiqua"/>
                <w:b/>
                <w:bCs/>
                <w:sz w:val="12"/>
                <w:szCs w:val="24"/>
                <w:lang w:val="en-ID" w:eastAsia="en-US"/>
              </w:rPr>
              <w:t>School</w:t>
            </w:r>
          </w:p>
        </w:tc>
        <w:tc>
          <w:tcPr>
            <w:tcW w:w="750"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sidRPr="008A00A8">
              <w:rPr>
                <w:rFonts w:ascii="Book Antiqua" w:hAnsi="Book Antiqua" w:cs="Book Antiqua"/>
                <w:b/>
                <w:bCs/>
                <w:sz w:val="12"/>
                <w:szCs w:val="24"/>
                <w:lang w:val="id-ID" w:eastAsia="en-US"/>
              </w:rPr>
              <w:t>JUNIOR HIGH SCHOOL</w:t>
            </w:r>
          </w:p>
        </w:tc>
        <w:tc>
          <w:tcPr>
            <w:tcW w:w="790"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sidRPr="008A00A8">
              <w:rPr>
                <w:rFonts w:ascii="Book Antiqua" w:hAnsi="Book Antiqua" w:cs="Book Antiqua"/>
                <w:b/>
                <w:bCs/>
                <w:sz w:val="12"/>
                <w:szCs w:val="24"/>
                <w:lang w:val="id-ID" w:eastAsia="en-US"/>
              </w:rPr>
              <w:t>SENIOR HIGH SCHOOL</w:t>
            </w:r>
          </w:p>
        </w:tc>
        <w:tc>
          <w:tcPr>
            <w:tcW w:w="576"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PT</w:t>
            </w:r>
          </w:p>
        </w:tc>
        <w:tc>
          <w:tcPr>
            <w:tcW w:w="579"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TS</w:t>
            </w:r>
          </w:p>
        </w:tc>
      </w:tr>
      <w:tr w:rsidR="00BA10A9" w:rsidTr="008A00A8">
        <w:trPr>
          <w:jc w:val="center"/>
        </w:trPr>
        <w:tc>
          <w:tcPr>
            <w:tcW w:w="610" w:type="dxa"/>
            <w:tcBorders>
              <w:top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w:t>
            </w:r>
          </w:p>
        </w:tc>
        <w:tc>
          <w:tcPr>
            <w:tcW w:w="936"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2016</w:t>
            </w:r>
          </w:p>
        </w:tc>
        <w:tc>
          <w:tcPr>
            <w:tcW w:w="1016"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115</w:t>
            </w:r>
          </w:p>
        </w:tc>
        <w:tc>
          <w:tcPr>
            <w:tcW w:w="582"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99</w:t>
            </w:r>
          </w:p>
        </w:tc>
        <w:tc>
          <w:tcPr>
            <w:tcW w:w="582"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16</w:t>
            </w:r>
          </w:p>
        </w:tc>
        <w:tc>
          <w:tcPr>
            <w:tcW w:w="602"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39</w:t>
            </w:r>
          </w:p>
        </w:tc>
        <w:tc>
          <w:tcPr>
            <w:tcW w:w="602"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76</w:t>
            </w:r>
          </w:p>
        </w:tc>
        <w:tc>
          <w:tcPr>
            <w:tcW w:w="457"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0</w:t>
            </w:r>
          </w:p>
        </w:tc>
        <w:tc>
          <w:tcPr>
            <w:tcW w:w="957"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w:t>
            </w:r>
          </w:p>
        </w:tc>
        <w:tc>
          <w:tcPr>
            <w:tcW w:w="750"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46</w:t>
            </w:r>
          </w:p>
        </w:tc>
        <w:tc>
          <w:tcPr>
            <w:tcW w:w="790"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52</w:t>
            </w:r>
          </w:p>
        </w:tc>
        <w:tc>
          <w:tcPr>
            <w:tcW w:w="576"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14</w:t>
            </w:r>
          </w:p>
        </w:tc>
        <w:tc>
          <w:tcPr>
            <w:tcW w:w="579" w:type="dxa"/>
            <w:tcBorders>
              <w:top w:val="single" w:sz="4" w:space="0" w:color="000000"/>
            </w:tcBorders>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0</w:t>
            </w:r>
          </w:p>
        </w:tc>
      </w:tr>
      <w:tr w:rsidR="00BA10A9" w:rsidTr="008A00A8">
        <w:trPr>
          <w:jc w:val="center"/>
        </w:trPr>
        <w:tc>
          <w:tcPr>
            <w:tcW w:w="610"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2.</w:t>
            </w:r>
          </w:p>
        </w:tc>
        <w:tc>
          <w:tcPr>
            <w:tcW w:w="93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2017</w:t>
            </w:r>
          </w:p>
        </w:tc>
        <w:tc>
          <w:tcPr>
            <w:tcW w:w="101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204</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188</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16</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83</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121</w:t>
            </w:r>
          </w:p>
        </w:tc>
        <w:tc>
          <w:tcPr>
            <w:tcW w:w="4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0</w:t>
            </w:r>
          </w:p>
        </w:tc>
        <w:tc>
          <w:tcPr>
            <w:tcW w:w="9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54</w:t>
            </w:r>
          </w:p>
        </w:tc>
        <w:tc>
          <w:tcPr>
            <w:tcW w:w="75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72</w:t>
            </w:r>
          </w:p>
        </w:tc>
        <w:tc>
          <w:tcPr>
            <w:tcW w:w="79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68</w:t>
            </w:r>
          </w:p>
        </w:tc>
        <w:tc>
          <w:tcPr>
            <w:tcW w:w="57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8</w:t>
            </w:r>
          </w:p>
        </w:tc>
        <w:tc>
          <w:tcPr>
            <w:tcW w:w="579"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w:t>
            </w:r>
          </w:p>
        </w:tc>
      </w:tr>
      <w:tr w:rsidR="00BA10A9" w:rsidTr="008A00A8">
        <w:trPr>
          <w:jc w:val="center"/>
        </w:trPr>
        <w:tc>
          <w:tcPr>
            <w:tcW w:w="610"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3.</w:t>
            </w:r>
          </w:p>
        </w:tc>
        <w:tc>
          <w:tcPr>
            <w:tcW w:w="93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2018</w:t>
            </w:r>
          </w:p>
        </w:tc>
        <w:tc>
          <w:tcPr>
            <w:tcW w:w="101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185</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97</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28</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72</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113</w:t>
            </w:r>
          </w:p>
        </w:tc>
        <w:tc>
          <w:tcPr>
            <w:tcW w:w="4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0</w:t>
            </w:r>
          </w:p>
        </w:tc>
        <w:tc>
          <w:tcPr>
            <w:tcW w:w="9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57</w:t>
            </w:r>
          </w:p>
        </w:tc>
        <w:tc>
          <w:tcPr>
            <w:tcW w:w="75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48</w:t>
            </w:r>
          </w:p>
        </w:tc>
        <w:tc>
          <w:tcPr>
            <w:tcW w:w="79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65</w:t>
            </w:r>
          </w:p>
        </w:tc>
        <w:tc>
          <w:tcPr>
            <w:tcW w:w="57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10</w:t>
            </w:r>
          </w:p>
        </w:tc>
        <w:tc>
          <w:tcPr>
            <w:tcW w:w="579"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w:t>
            </w:r>
          </w:p>
        </w:tc>
      </w:tr>
      <w:tr w:rsidR="00BA10A9" w:rsidTr="008A00A8">
        <w:trPr>
          <w:jc w:val="center"/>
        </w:trPr>
        <w:tc>
          <w:tcPr>
            <w:tcW w:w="610"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4.</w:t>
            </w:r>
          </w:p>
        </w:tc>
        <w:tc>
          <w:tcPr>
            <w:tcW w:w="93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2019</w:t>
            </w:r>
          </w:p>
        </w:tc>
        <w:tc>
          <w:tcPr>
            <w:tcW w:w="101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314</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269</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45</w:t>
            </w:r>
          </w:p>
        </w:tc>
        <w:tc>
          <w:tcPr>
            <w:tcW w:w="602"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222</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89</w:t>
            </w:r>
          </w:p>
        </w:tc>
        <w:tc>
          <w:tcPr>
            <w:tcW w:w="4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w:t>
            </w:r>
          </w:p>
        </w:tc>
        <w:tc>
          <w:tcPr>
            <w:tcW w:w="9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17</w:t>
            </w:r>
          </w:p>
        </w:tc>
        <w:tc>
          <w:tcPr>
            <w:tcW w:w="75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36</w:t>
            </w:r>
          </w:p>
        </w:tc>
        <w:tc>
          <w:tcPr>
            <w:tcW w:w="79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212</w:t>
            </w:r>
          </w:p>
        </w:tc>
        <w:tc>
          <w:tcPr>
            <w:tcW w:w="57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w:t>
            </w:r>
          </w:p>
        </w:tc>
        <w:tc>
          <w:tcPr>
            <w:tcW w:w="579"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44</w:t>
            </w:r>
          </w:p>
        </w:tc>
      </w:tr>
      <w:tr w:rsidR="00BA10A9" w:rsidTr="008A00A8">
        <w:trPr>
          <w:jc w:val="center"/>
        </w:trPr>
        <w:tc>
          <w:tcPr>
            <w:tcW w:w="610"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5.</w:t>
            </w:r>
          </w:p>
        </w:tc>
        <w:tc>
          <w:tcPr>
            <w:tcW w:w="93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2020</w:t>
            </w:r>
          </w:p>
        </w:tc>
        <w:tc>
          <w:tcPr>
            <w:tcW w:w="101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195</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164</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31</w:t>
            </w:r>
          </w:p>
        </w:tc>
        <w:tc>
          <w:tcPr>
            <w:tcW w:w="602"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131</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65</w:t>
            </w:r>
          </w:p>
        </w:tc>
        <w:tc>
          <w:tcPr>
            <w:tcW w:w="4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0</w:t>
            </w:r>
          </w:p>
        </w:tc>
        <w:tc>
          <w:tcPr>
            <w:tcW w:w="9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23</w:t>
            </w:r>
          </w:p>
        </w:tc>
        <w:tc>
          <w:tcPr>
            <w:tcW w:w="75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46</w:t>
            </w:r>
          </w:p>
        </w:tc>
        <w:tc>
          <w:tcPr>
            <w:tcW w:w="79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63</w:t>
            </w:r>
          </w:p>
        </w:tc>
        <w:tc>
          <w:tcPr>
            <w:tcW w:w="57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26</w:t>
            </w:r>
          </w:p>
        </w:tc>
        <w:tc>
          <w:tcPr>
            <w:tcW w:w="579"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37</w:t>
            </w:r>
          </w:p>
        </w:tc>
      </w:tr>
      <w:tr w:rsidR="00BA10A9" w:rsidTr="008A00A8">
        <w:trPr>
          <w:jc w:val="center"/>
        </w:trPr>
        <w:tc>
          <w:tcPr>
            <w:tcW w:w="610" w:type="dxa"/>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6.</w:t>
            </w:r>
          </w:p>
        </w:tc>
        <w:tc>
          <w:tcPr>
            <w:tcW w:w="93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2021</w:t>
            </w:r>
          </w:p>
        </w:tc>
        <w:tc>
          <w:tcPr>
            <w:tcW w:w="101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209</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159</w:t>
            </w:r>
          </w:p>
        </w:tc>
        <w:tc>
          <w:tcPr>
            <w:tcW w:w="58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50</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73</w:t>
            </w:r>
          </w:p>
        </w:tc>
        <w:tc>
          <w:tcPr>
            <w:tcW w:w="602"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176</w:t>
            </w:r>
          </w:p>
        </w:tc>
        <w:tc>
          <w:tcPr>
            <w:tcW w:w="4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0</w:t>
            </w:r>
          </w:p>
        </w:tc>
        <w:tc>
          <w:tcPr>
            <w:tcW w:w="957"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16</w:t>
            </w:r>
          </w:p>
        </w:tc>
        <w:tc>
          <w:tcPr>
            <w:tcW w:w="75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57</w:t>
            </w:r>
          </w:p>
        </w:tc>
        <w:tc>
          <w:tcPr>
            <w:tcW w:w="790"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95</w:t>
            </w:r>
          </w:p>
        </w:tc>
        <w:tc>
          <w:tcPr>
            <w:tcW w:w="576"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37</w:t>
            </w:r>
          </w:p>
        </w:tc>
        <w:tc>
          <w:tcPr>
            <w:tcW w:w="579" w:type="dxa"/>
            <w:vAlign w:val="center"/>
          </w:tcPr>
          <w:p w:rsidR="00BA10A9" w:rsidRDefault="0012717F">
            <w:pPr>
              <w:spacing w:after="0" w:line="240" w:lineRule="auto"/>
              <w:jc w:val="center"/>
              <w:rPr>
                <w:rFonts w:ascii="Book Antiqua" w:hAnsi="Book Antiqua" w:cs="Book Antiqua"/>
                <w:sz w:val="24"/>
                <w:szCs w:val="24"/>
                <w:lang w:val="id-ID" w:eastAsia="en-US"/>
              </w:rPr>
            </w:pPr>
            <w:r>
              <w:rPr>
                <w:rFonts w:ascii="Book Antiqua" w:hAnsi="Book Antiqua" w:cs="Book Antiqua"/>
                <w:sz w:val="24"/>
                <w:szCs w:val="24"/>
                <w:lang w:val="id-ID" w:eastAsia="en-US"/>
              </w:rPr>
              <w:t>63</w:t>
            </w:r>
          </w:p>
        </w:tc>
      </w:tr>
      <w:tr w:rsidR="00BA10A9" w:rsidTr="008A00A8">
        <w:trPr>
          <w:jc w:val="center"/>
        </w:trPr>
        <w:tc>
          <w:tcPr>
            <w:tcW w:w="1546" w:type="dxa"/>
            <w:gridSpan w:val="2"/>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Amount</w:t>
            </w:r>
          </w:p>
        </w:tc>
        <w:tc>
          <w:tcPr>
            <w:tcW w:w="1016"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1222</w:t>
            </w:r>
          </w:p>
        </w:tc>
        <w:tc>
          <w:tcPr>
            <w:tcW w:w="582"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976</w:t>
            </w:r>
          </w:p>
        </w:tc>
        <w:tc>
          <w:tcPr>
            <w:tcW w:w="582"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186</w:t>
            </w:r>
          </w:p>
        </w:tc>
        <w:tc>
          <w:tcPr>
            <w:tcW w:w="602"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620</w:t>
            </w:r>
          </w:p>
        </w:tc>
        <w:tc>
          <w:tcPr>
            <w:tcW w:w="602"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640</w:t>
            </w:r>
          </w:p>
        </w:tc>
        <w:tc>
          <w:tcPr>
            <w:tcW w:w="457"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3</w:t>
            </w:r>
          </w:p>
        </w:tc>
        <w:tc>
          <w:tcPr>
            <w:tcW w:w="957"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170</w:t>
            </w:r>
          </w:p>
        </w:tc>
        <w:tc>
          <w:tcPr>
            <w:tcW w:w="750"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305</w:t>
            </w:r>
          </w:p>
        </w:tc>
        <w:tc>
          <w:tcPr>
            <w:tcW w:w="790"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555</w:t>
            </w:r>
          </w:p>
        </w:tc>
        <w:tc>
          <w:tcPr>
            <w:tcW w:w="576"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100</w:t>
            </w:r>
          </w:p>
        </w:tc>
        <w:tc>
          <w:tcPr>
            <w:tcW w:w="579" w:type="dxa"/>
            <w:tcBorders>
              <w:bottom w:val="single" w:sz="4" w:space="0" w:color="000000"/>
            </w:tcBorders>
            <w:vAlign w:val="center"/>
          </w:tcPr>
          <w:p w:rsidR="00BA10A9" w:rsidRDefault="0012717F">
            <w:pPr>
              <w:spacing w:after="0" w:line="240" w:lineRule="auto"/>
              <w:jc w:val="center"/>
              <w:rPr>
                <w:rFonts w:ascii="Book Antiqua" w:hAnsi="Book Antiqua" w:cs="Book Antiqua"/>
                <w:b/>
                <w:bCs/>
                <w:sz w:val="24"/>
                <w:szCs w:val="24"/>
                <w:lang w:val="id-ID" w:eastAsia="en-US"/>
              </w:rPr>
            </w:pPr>
            <w:r>
              <w:rPr>
                <w:rFonts w:ascii="Book Antiqua" w:hAnsi="Book Antiqua" w:cs="Book Antiqua"/>
                <w:b/>
                <w:bCs/>
                <w:sz w:val="24"/>
                <w:szCs w:val="24"/>
                <w:lang w:val="id-ID" w:eastAsia="en-US"/>
              </w:rPr>
              <w:t>151</w:t>
            </w:r>
          </w:p>
        </w:tc>
      </w:tr>
    </w:tbl>
    <w:p w:rsidR="00BA10A9" w:rsidRDefault="0012717F">
      <w:pPr>
        <w:spacing w:after="0" w:line="240" w:lineRule="auto"/>
        <w:jc w:val="center"/>
        <w:rPr>
          <w:rFonts w:ascii="Book Antiqua" w:hAnsi="Book Antiqua" w:cs="Book Antiqua"/>
          <w:b/>
          <w:color w:val="000000"/>
          <w:sz w:val="24"/>
          <w:szCs w:val="24"/>
          <w:shd w:val="clear" w:color="auto" w:fill="FFFFFF"/>
          <w:lang w:val="id-ID" w:eastAsia="en-US"/>
        </w:rPr>
      </w:pPr>
      <w:r>
        <w:rPr>
          <w:rFonts w:ascii="Book Antiqua" w:hAnsi="Book Antiqua" w:cs="Book Antiqua"/>
          <w:b/>
          <w:color w:val="000000"/>
          <w:sz w:val="24"/>
          <w:szCs w:val="24"/>
          <w:shd w:val="clear" w:color="auto" w:fill="FFFFFF"/>
          <w:lang w:val="id-ID" w:eastAsia="en-US"/>
        </w:rPr>
        <w:t>Rehabilitation Patient Data</w:t>
      </w:r>
    </w:p>
    <w:p w:rsidR="00BA10A9" w:rsidRDefault="0012717F">
      <w:pPr>
        <w:spacing w:line="240" w:lineRule="auto"/>
        <w:jc w:val="both"/>
        <w:rPr>
          <w:rFonts w:ascii="Book Antiqua" w:hAnsi="Book Antiqua" w:cs="Book Antiqua"/>
          <w:i/>
          <w:color w:val="000000"/>
          <w:szCs w:val="22"/>
          <w:shd w:val="clear" w:color="auto" w:fill="FFFFFF"/>
          <w:lang w:val="id-ID" w:eastAsia="en-US"/>
        </w:rPr>
      </w:pPr>
      <w:r>
        <w:rPr>
          <w:rFonts w:ascii="Book Antiqua" w:hAnsi="Book Antiqua" w:cs="Book Antiqua"/>
          <w:i/>
          <w:color w:val="000000"/>
          <w:szCs w:val="22"/>
          <w:shd w:val="clear" w:color="auto" w:fill="FFFFFF"/>
          <w:lang w:val="id-ID" w:eastAsia="en-US"/>
        </w:rPr>
        <w:t>Source: BNN Gorontalo Province, 2021</w:t>
      </w:r>
    </w:p>
    <w:p w:rsidR="00BA10A9" w:rsidRDefault="0012717F">
      <w:pPr>
        <w:spacing w:after="0" w:line="240" w:lineRule="auto"/>
        <w:ind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Referring to the table above, it can be seen that in 2019 and 2020, rehabilitation patients were dominated by minors (under 18 years of age). In 2019, out of 314 patients, 222 of them were not old enough. Then the same thing will still happen in 2020, where out of 195 patients, 131 of them are not old enough. The number of children who fall into narcotics is because the cause is dominated by excessive association and family conditions which are enough to trigger depression and despair, so that children tend to take things that are not supposed to calm themselves physically and mentally.</w:t>
      </w:r>
      <w:bookmarkStart w:id="0" w:name="_Hlk105526994"/>
      <w:bookmarkEnd w:id="0"/>
    </w:p>
    <w:p w:rsidR="00BA10A9" w:rsidRDefault="0012717F">
      <w:pPr>
        <w:spacing w:after="0" w:line="240" w:lineRule="auto"/>
        <w:ind w:firstLine="720"/>
        <w:jc w:val="both"/>
        <w:rPr>
          <w:rFonts w:ascii="Book Antiqua" w:hAnsi="Book Antiqua" w:cs="Book Antiqua"/>
          <w:color w:val="202124"/>
          <w:sz w:val="24"/>
          <w:szCs w:val="24"/>
          <w:shd w:val="clear" w:color="auto" w:fill="FFFFFF"/>
          <w:lang w:val="id-ID" w:eastAsia="en-US"/>
        </w:rPr>
      </w:pPr>
      <w:r>
        <w:rPr>
          <w:rFonts w:ascii="Book Antiqua" w:hAnsi="Book Antiqua" w:cs="Book Antiqua"/>
          <w:sz w:val="24"/>
          <w:szCs w:val="24"/>
          <w:lang w:val="id-ID" w:eastAsia="en-US"/>
        </w:rPr>
        <w:t>Although many children are not old enough to become addicts or narcotics abusers, all the stages and processes of rehabilitation as mandated by the Narcotics Law have been fully implemented by the Gorontalo Provincial BNN. The implementation of rehabilitation for children also refers to Law no. 35 of 2014 concerning Child Protection in which the Act confirms that</w:t>
      </w:r>
      <w:r>
        <w:rPr>
          <w:rFonts w:ascii="Book Antiqua" w:hAnsi="Book Antiqua" w:cs="Book Antiqua"/>
          <w:color w:val="202124"/>
          <w:sz w:val="24"/>
          <w:szCs w:val="24"/>
          <w:shd w:val="clear" w:color="auto" w:fill="FFFFFF"/>
          <w:lang w:val="id-ID" w:eastAsia="en-US"/>
        </w:rPr>
        <w:t>there is special protection for child victims of narcotics abuse, supervision, prevention, treatment and rehabilitation must be carried out.</w:t>
      </w:r>
      <w:r>
        <w:rPr>
          <w:rStyle w:val="FootnoteAnchor"/>
          <w:rFonts w:ascii="Book Antiqua" w:hAnsi="Book Antiqua" w:cs="Book Antiqua"/>
          <w:color w:val="202124"/>
          <w:sz w:val="24"/>
          <w:szCs w:val="24"/>
          <w:shd w:val="clear" w:color="auto" w:fill="FFFFFF"/>
          <w:lang w:val="id-ID" w:eastAsia="en-US"/>
        </w:rPr>
        <w:footnoteReference w:id="7"/>
      </w:r>
    </w:p>
    <w:p w:rsidR="00BA10A9" w:rsidRDefault="0012717F">
      <w:pPr>
        <w:spacing w:line="240" w:lineRule="auto"/>
        <w:jc w:val="both"/>
        <w:rPr>
          <w:rFonts w:ascii="Book Antiqua" w:hAnsi="Book Antiqua" w:cs="Book Antiqua"/>
          <w:color w:val="000000"/>
          <w:sz w:val="24"/>
          <w:szCs w:val="24"/>
          <w:shd w:val="clear" w:color="auto" w:fill="FFFFFF"/>
          <w:lang w:val="id-ID" w:eastAsia="en-US"/>
        </w:rPr>
      </w:pPr>
      <w:r>
        <w:rPr>
          <w:rFonts w:ascii="Book Antiqua" w:hAnsi="Book Antiqua" w:cs="Book Antiqua"/>
          <w:color w:val="202124"/>
          <w:sz w:val="24"/>
          <w:szCs w:val="24"/>
          <w:shd w:val="clear" w:color="auto" w:fill="FFFFFF"/>
          <w:lang w:val="id-ID" w:eastAsia="en-US"/>
        </w:rPr>
        <w:t>Often the cause of drug abuse in children is often influenced by promiscuity or the development of increasingly advanced technology.</w:t>
      </w:r>
      <w:r>
        <w:rPr>
          <w:rFonts w:ascii="Book Antiqua" w:hAnsi="Book Antiqua" w:cs="Book Antiqua"/>
          <w:sz w:val="24"/>
          <w:szCs w:val="24"/>
          <w:lang w:val="id-ID" w:eastAsia="en-US"/>
        </w:rPr>
        <w:t>So the rapidly growing development of internet technology has had a very big impact on the world community.</w:t>
      </w:r>
      <w:r>
        <w:rPr>
          <w:rStyle w:val="FootnoteAnchor"/>
          <w:rFonts w:ascii="Book Antiqua" w:hAnsi="Book Antiqua" w:cs="Book Antiqua"/>
          <w:sz w:val="24"/>
          <w:szCs w:val="24"/>
          <w:lang w:val="id-ID" w:eastAsia="en-US"/>
        </w:rPr>
        <w:footnoteReference w:id="8"/>
      </w:r>
      <w:r>
        <w:rPr>
          <w:rFonts w:ascii="Book Antiqua" w:hAnsi="Book Antiqua" w:cs="Book Antiqua"/>
          <w:sz w:val="24"/>
          <w:szCs w:val="24"/>
          <w:lang w:val="id-ID" w:eastAsia="en-US"/>
        </w:rPr>
        <w:t xml:space="preserve"> </w:t>
      </w:r>
      <w:r>
        <w:rPr>
          <w:rFonts w:ascii="Book Antiqua" w:hAnsi="Book Antiqua" w:cs="Book Antiqua"/>
          <w:color w:val="202124"/>
          <w:sz w:val="24"/>
          <w:szCs w:val="24"/>
          <w:shd w:val="clear" w:color="auto" w:fill="FFFFFF"/>
          <w:lang w:val="id-ID" w:eastAsia="en-US"/>
        </w:rPr>
        <w:t>Referring to the table above, it can also be seen that child narcotics cases have decreased in 2019-2021. However, this does not absolutely conclude that child narcotics cases have decreased and have been successfully overcome. From a positive perspective, this can indeed be considered as something good. But on the other hand, this can also be due to the family covering up a child's narcotics case, the reluctance of the family to report it is the reason the case is difficult to detect so it cannot be known.</w:t>
      </w:r>
    </w:p>
    <w:p w:rsidR="00BA10A9" w:rsidRDefault="0012717F">
      <w:pPr>
        <w:pStyle w:val="Judul1"/>
        <w:numPr>
          <w:ilvl w:val="0"/>
          <w:numId w:val="6"/>
        </w:numPr>
        <w:spacing w:before="0" w:after="0" w:line="240" w:lineRule="auto"/>
        <w:jc w:val="both"/>
        <w:rPr>
          <w:rFonts w:ascii="Book Antiqua" w:eastAsia="Arial Unicode MS" w:hAnsi="Book Antiqua" w:cs="Calibri Light"/>
          <w:b/>
          <w:lang w:val="id-ID" w:eastAsia="en-US"/>
        </w:rPr>
      </w:pPr>
      <w:r>
        <w:rPr>
          <w:rFonts w:ascii="Book Antiqua" w:eastAsia="Arial Unicode MS" w:hAnsi="Book Antiqua" w:cs="Calibri Light"/>
          <w:b/>
          <w:lang w:val="id-ID" w:eastAsia="en-US"/>
        </w:rPr>
        <w:t>Method</w:t>
      </w:r>
    </w:p>
    <w:p w:rsidR="00BA10A9" w:rsidRDefault="0012717F">
      <w:pPr>
        <w:pStyle w:val="DaftarParagraf"/>
        <w:spacing w:before="120" w:after="0" w:line="240" w:lineRule="auto"/>
        <w:ind w:left="0" w:firstLine="567"/>
        <w:jc w:val="both"/>
        <w:rPr>
          <w:rFonts w:ascii="Book Antiqua" w:hAnsi="Book Antiqua" w:cs="Calibri Light"/>
          <w:sz w:val="24"/>
          <w:szCs w:val="24"/>
          <w:lang w:val="id-ID" w:eastAsia="en-US"/>
        </w:rPr>
      </w:pPr>
      <w:r>
        <w:rPr>
          <w:rFonts w:ascii="Book Antiqua" w:hAnsi="Book Antiqua" w:cs="Book Antiqua"/>
          <w:sz w:val="24"/>
          <w:szCs w:val="24"/>
          <w:lang w:val="id-ID" w:eastAsia="en-US"/>
        </w:rPr>
        <w:t>The research method used by the author in this study is empirical research based on the opinion of Mukti Fajar and Yulianto Ahmad where it is said that empirical research is basically collecting data through documentation studies or through literature searches and by conducting interviews or observations.</w:t>
      </w:r>
      <w:r>
        <w:rPr>
          <w:rStyle w:val="FootnoteAnchor"/>
          <w:rFonts w:ascii="Book Antiqua" w:hAnsi="Book Antiqua" w:cs="Book Antiqua"/>
          <w:sz w:val="24"/>
          <w:szCs w:val="24"/>
          <w:lang w:val="id-ID" w:eastAsia="en-US"/>
        </w:rPr>
        <w:footnoteReference w:id="9"/>
      </w:r>
      <w:r>
        <w:rPr>
          <w:rFonts w:ascii="Book Antiqua" w:hAnsi="Book Antiqua" w:cs="Book Antiqua"/>
          <w:sz w:val="24"/>
          <w:szCs w:val="24"/>
          <w:lang w:val="id-ID" w:eastAsia="en-US"/>
        </w:rPr>
        <w:t>The research approach uses analytical descriptive and uses qualitative analysis techniques.</w:t>
      </w:r>
    </w:p>
    <w:p w:rsidR="00BA10A9" w:rsidRDefault="00BA10A9">
      <w:pPr>
        <w:pStyle w:val="DaftarParagraf"/>
        <w:spacing w:before="120" w:after="0" w:line="240" w:lineRule="auto"/>
        <w:ind w:left="360"/>
        <w:jc w:val="both"/>
        <w:rPr>
          <w:rFonts w:ascii="Book Antiqua" w:hAnsi="Book Antiqua" w:cs="Calibri Light"/>
          <w:sz w:val="24"/>
          <w:szCs w:val="24"/>
          <w:lang w:val="id-ID" w:eastAsia="en-US" w:bidi="ar-SA"/>
        </w:rPr>
      </w:pPr>
    </w:p>
    <w:p w:rsidR="00BA10A9" w:rsidRDefault="0012717F">
      <w:pPr>
        <w:numPr>
          <w:ilvl w:val="0"/>
          <w:numId w:val="6"/>
        </w:numPr>
        <w:jc w:val="both"/>
        <w:rPr>
          <w:rFonts w:ascii="Book Antiqua" w:hAnsi="Book Antiqua" w:cs="Book Antiqua"/>
          <w:b/>
          <w:sz w:val="28"/>
          <w:lang w:val="id-ID" w:eastAsia="en-US"/>
        </w:rPr>
      </w:pPr>
      <w:r>
        <w:rPr>
          <w:rFonts w:ascii="Book Antiqua" w:hAnsi="Book Antiqua" w:cs="Book Antiqua"/>
          <w:b/>
          <w:sz w:val="28"/>
          <w:lang w:val="id-ID" w:eastAsia="en-US"/>
        </w:rPr>
        <w:t>Mechanism of Rehabilitation Against Narcotics Abuse by Children</w:t>
      </w:r>
    </w:p>
    <w:p w:rsidR="00BA10A9" w:rsidRDefault="0012717F">
      <w:pPr>
        <w:spacing w:after="0" w:line="240" w:lineRule="auto"/>
        <w:ind w:firstLine="720"/>
        <w:jc w:val="both"/>
      </w:pPr>
      <w:r>
        <w:rPr>
          <w:rFonts w:ascii="Book Antiqua" w:hAnsi="Book Antiqua" w:cs="Book Antiqua"/>
          <w:sz w:val="24"/>
          <w:szCs w:val="24"/>
          <w:lang w:val="id-ID" w:eastAsia="en-US"/>
        </w:rPr>
        <w:t>In order to maximize protection for children in Indonesia, especially legal protection, Law Number 23 of 2002 concerning Child Protection was issued. Along with developments, this Child Protection Act was later amended through Law Number 35 of 2014 concerning Amendments to Law Number 23 of 2002 concerning Child Protection. In order to maximize protection for children in Indonesia, especially legal protection, Law Number 23 of 2002 concerning Child Protection was issued. Along with developments, this Child Protection Act was later amended through Law Number 35 of 2014 concerning Amendments to Law Number 23 of 2002 concerning Child Protection. The Child Protection Act has determined special protection for children who are victims of narcotics, alcohol, psychotropic and other addictive substances (drugs) abuse. The government and other state institutions are obliged and responsible for providing special protection to children, one of which is children who are victims of abuse of narcotics, alcohol, psychotropic substances and other addictive substances (drugs).</w:t>
      </w:r>
      <w:r>
        <w:rPr>
          <w:rStyle w:val="FootnoteAnchor"/>
          <w:rFonts w:ascii="Book Antiqua" w:hAnsi="Book Antiqua" w:cs="Book Antiqua"/>
          <w:sz w:val="24"/>
          <w:szCs w:val="24"/>
          <w:lang w:val="id-ID" w:eastAsia="en-US"/>
        </w:rPr>
        <w:footnoteReference w:id="10"/>
      </w:r>
      <w:r>
        <w:rPr>
          <w:rFonts w:ascii="Book Antiqua" w:hAnsi="Book Antiqua" w:cs="Book Antiqua"/>
          <w:sz w:val="24"/>
          <w:szCs w:val="24"/>
          <w:lang w:val="id-ID" w:eastAsia="en-US"/>
        </w:rPr>
        <w:t xml:space="preserve"> </w:t>
      </w:r>
    </w:p>
    <w:p w:rsidR="00BA10A9" w:rsidRDefault="0012717F">
      <w:pPr>
        <w:spacing w:after="0" w:line="240" w:lineRule="auto"/>
        <w:ind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The Unitary State of the Republic of Indonesia guarantees the welfare of each of its citizens, including the protection of human rights. The reason is that government policies as outlined in laws and regulations are always followed by criminal sanctions</w:t>
      </w:r>
      <w:r>
        <w:rPr>
          <w:rStyle w:val="FootnoteAnchor"/>
          <w:rFonts w:ascii="Book Antiqua" w:hAnsi="Book Antiqua" w:cs="Book Antiqua"/>
          <w:sz w:val="24"/>
          <w:szCs w:val="24"/>
          <w:lang w:val="id-ID" w:eastAsia="en-US"/>
        </w:rPr>
        <w:footnoteReference w:id="11"/>
      </w:r>
      <w:r>
        <w:rPr>
          <w:rFonts w:ascii="Book Antiqua" w:hAnsi="Book Antiqua" w:cs="Book Antiqua"/>
          <w:sz w:val="24"/>
          <w:szCs w:val="24"/>
          <w:lang w:val="id-ID" w:eastAsia="en-US"/>
        </w:rPr>
        <w:t>and the involvement of the State which is also one of the characters of the conflict phenomenon.</w:t>
      </w:r>
      <w:r>
        <w:rPr>
          <w:rStyle w:val="FootnoteAnchor"/>
          <w:rFonts w:ascii="Book Antiqua" w:hAnsi="Book Antiqua" w:cs="Book Antiqua"/>
          <w:sz w:val="24"/>
          <w:szCs w:val="24"/>
          <w:lang w:val="id-ID" w:eastAsia="en-US"/>
        </w:rPr>
        <w:footnoteReference w:id="12"/>
      </w:r>
      <w:r>
        <w:rPr>
          <w:rFonts w:ascii="Book Antiqua" w:hAnsi="Book Antiqua" w:cs="Book Antiqua"/>
          <w:sz w:val="24"/>
          <w:szCs w:val="24"/>
          <w:lang w:val="id-ID" w:eastAsia="en-US"/>
        </w:rPr>
        <w:t>Furthermore, the form of the legal system also requires people to have a sense of love and affection, mutual respect, mutual respect, mutual help, loyalty, honesty, and adequate physical and spiritual support, so that the implementation of the legal system can run in accordance with people's lives in general.</w:t>
      </w:r>
      <w:r>
        <w:rPr>
          <w:rStyle w:val="FootnoteAnchor"/>
          <w:rFonts w:ascii="Book Antiqua" w:hAnsi="Book Antiqua" w:cs="Book Antiqua"/>
          <w:sz w:val="24"/>
          <w:szCs w:val="24"/>
          <w:lang w:val="id-ID" w:eastAsia="en-US"/>
        </w:rPr>
        <w:footnoteReference w:id="13"/>
      </w:r>
      <w:r>
        <w:rPr>
          <w:rFonts w:ascii="Book Antiqua" w:hAnsi="Book Antiqua" w:cs="Book Antiqua"/>
          <w:sz w:val="24"/>
          <w:szCs w:val="24"/>
          <w:lang w:val="id-ID" w:eastAsia="en-US"/>
        </w:rPr>
        <w:t>Furthermore, an important point in the preparation of every policy issued by the Government comes solely from the wishes of the people.</w:t>
      </w:r>
      <w:r>
        <w:rPr>
          <w:rStyle w:val="FootnoteAnchor"/>
          <w:rFonts w:ascii="Book Antiqua" w:hAnsi="Book Antiqua" w:cs="Book Antiqua"/>
          <w:sz w:val="24"/>
          <w:szCs w:val="24"/>
          <w:lang w:val="id-ID" w:eastAsia="en-US"/>
        </w:rPr>
        <w:footnoteReference w:id="14"/>
      </w:r>
      <w:r>
        <w:rPr>
          <w:rFonts w:ascii="Book Antiqua" w:hAnsi="Book Antiqua" w:cs="Book Antiqua"/>
          <w:sz w:val="24"/>
          <w:szCs w:val="24"/>
          <w:lang w:val="id-ID" w:eastAsia="en-US"/>
        </w:rPr>
        <w:t>So that when this does not cause problems and if the policy is not in accordance with the behavior patterns of the community, then the government must resolve a problem with the community itself.</w:t>
      </w:r>
      <w:r>
        <w:rPr>
          <w:rStyle w:val="FootnoteAnchor"/>
          <w:rFonts w:ascii="Book Antiqua" w:hAnsi="Book Antiqua" w:cs="Book Antiqua"/>
          <w:sz w:val="24"/>
          <w:szCs w:val="24"/>
          <w:lang w:val="id-ID" w:eastAsia="en-US"/>
        </w:rPr>
        <w:footnoteReference w:id="15"/>
      </w:r>
      <w:r>
        <w:rPr>
          <w:rFonts w:ascii="Book Antiqua" w:hAnsi="Book Antiqua" w:cs="Book Antiqua"/>
          <w:sz w:val="24"/>
          <w:szCs w:val="24"/>
          <w:vertAlign w:val="superscript"/>
          <w:lang w:val="id-ID" w:eastAsia="en-US"/>
        </w:rPr>
        <w:t xml:space="preserve"> </w:t>
      </w:r>
      <w:r>
        <w:rPr>
          <w:rFonts w:ascii="Book Antiqua" w:hAnsi="Book Antiqua" w:cs="Book Antiqua"/>
          <w:sz w:val="24"/>
          <w:szCs w:val="24"/>
          <w:lang w:val="id-ID" w:eastAsia="en-US"/>
        </w:rPr>
        <w:t>Everyone else, including the government must heed it, by making laws on the basis of natural rights themselves.</w:t>
      </w:r>
      <w:r>
        <w:rPr>
          <w:rStyle w:val="FootnoteAnchor"/>
          <w:rFonts w:ascii="Book Antiqua" w:hAnsi="Book Antiqua" w:cs="Book Antiqua"/>
          <w:sz w:val="24"/>
          <w:szCs w:val="24"/>
          <w:lang w:val="id-ID" w:eastAsia="en-US"/>
        </w:rPr>
        <w:footnoteReference w:id="16"/>
      </w:r>
      <w:r>
        <w:rPr>
          <w:rFonts w:ascii="Book Antiqua" w:hAnsi="Book Antiqua" w:cs="Book Antiqua"/>
          <w:sz w:val="24"/>
          <w:szCs w:val="24"/>
          <w:lang w:val="id-ID" w:eastAsia="en-US"/>
        </w:rPr>
        <w:t>Because of this, one of the aims of the recognition and establishment of the rule of law is to protect human rights, meaning that individual rights and freedoms are recognized, respected and upheld.</w:t>
      </w:r>
      <w:r>
        <w:rPr>
          <w:rStyle w:val="FootnoteAnchor"/>
          <w:rFonts w:ascii="Book Antiqua" w:hAnsi="Book Antiqua" w:cs="Book Antiqua"/>
          <w:sz w:val="24"/>
          <w:szCs w:val="24"/>
          <w:lang w:val="id-ID" w:eastAsia="en-US"/>
        </w:rPr>
        <w:footnoteReference w:id="17"/>
      </w:r>
      <w:r>
        <w:rPr>
          <w:rFonts w:ascii="Book Antiqua" w:hAnsi="Book Antiqua" w:cs="Book Antiqua"/>
          <w:sz w:val="24"/>
          <w:szCs w:val="24"/>
          <w:lang w:val="id-ID" w:eastAsia="en-US"/>
        </w:rPr>
        <w:t>Considering that Indonesia is also one of the countries that puts forward the constitution in every aspect of the life of the nation and state.</w:t>
      </w:r>
      <w:r>
        <w:rPr>
          <w:rStyle w:val="FootnoteAnchor"/>
          <w:rFonts w:ascii="Book Antiqua" w:hAnsi="Book Antiqua" w:cs="Book Antiqua"/>
          <w:sz w:val="24"/>
          <w:szCs w:val="24"/>
          <w:lang w:val="id-ID" w:eastAsia="en-US"/>
        </w:rPr>
        <w:footnoteReference w:id="18"/>
      </w:r>
    </w:p>
    <w:p w:rsidR="00BA10A9" w:rsidRDefault="0012717F">
      <w:pPr>
        <w:spacing w:after="0" w:line="240" w:lineRule="auto"/>
        <w:ind w:firstLine="720"/>
        <w:jc w:val="both"/>
        <w:rPr>
          <w:rFonts w:ascii="Book Antiqua" w:hAnsi="Book Antiqua" w:cs="Book Antiqua"/>
          <w:sz w:val="24"/>
          <w:szCs w:val="24"/>
          <w:vertAlign w:val="superscript"/>
          <w:lang w:val="id-ID" w:eastAsia="en-US"/>
        </w:rPr>
      </w:pPr>
      <w:r>
        <w:rPr>
          <w:rFonts w:ascii="Book Antiqua" w:hAnsi="Book Antiqua" w:cs="Book Antiqua"/>
          <w:sz w:val="24"/>
          <w:szCs w:val="24"/>
          <w:lang w:val="id-ID" w:eastAsia="en-US"/>
        </w:rPr>
        <w:t>In addition, Indonesia also has Law Number 35 of 2009 concerning Narcotics (hereinafter referred to as the Narcotics Law), which stipulates that the government conducts guidance on all activities related to narcotics, including efforts to prevent the involvement of minors in the abuse and illicit trafficking of narcotics. Preventing the younger generation and school-age children from abusing Narcotics, including by including education related to Narcotics in the elementary school to senior high school curriculum.</w:t>
      </w:r>
      <w:r>
        <w:rPr>
          <w:rStyle w:val="FootnoteAnchor"/>
          <w:rFonts w:ascii="Book Antiqua" w:hAnsi="Book Antiqua" w:cs="Book Antiqua"/>
          <w:sz w:val="24"/>
          <w:szCs w:val="24"/>
          <w:lang w:val="id-ID" w:eastAsia="en-US"/>
        </w:rPr>
        <w:footnoteReference w:id="19"/>
      </w:r>
      <w:r>
        <w:rPr>
          <w:rFonts w:ascii="Book Antiqua" w:hAnsi="Book Antiqua" w:cs="Book Antiqua"/>
          <w:sz w:val="24"/>
          <w:szCs w:val="24"/>
          <w:lang w:val="id-ID" w:eastAsia="en-US"/>
        </w:rPr>
        <w:t>If you refer to what Prof. Fenty Puluhulawa in his writings that the government through the law has provided a starting point for the judiciary, which is carried out for the sake of justice based on the One Godhead.</w:t>
      </w:r>
      <w:r>
        <w:rPr>
          <w:rStyle w:val="FootnoteAnchor"/>
          <w:rFonts w:ascii="Book Antiqua" w:hAnsi="Book Antiqua" w:cs="Book Antiqua"/>
          <w:bCs/>
          <w:sz w:val="24"/>
          <w:szCs w:val="24"/>
          <w:lang w:val="id-ID" w:eastAsia="en-US"/>
        </w:rPr>
        <w:footnoteReference w:id="20"/>
      </w:r>
      <w:r>
        <w:rPr>
          <w:rFonts w:ascii="Book Antiqua" w:hAnsi="Book Antiqua" w:cs="Book Antiqua"/>
          <w:bCs/>
          <w:sz w:val="24"/>
          <w:szCs w:val="24"/>
          <w:lang w:val="id-ID" w:eastAsia="en-US"/>
        </w:rPr>
        <w:t xml:space="preserve"> </w:t>
      </w:r>
      <w:r>
        <w:rPr>
          <w:rFonts w:ascii="Book Antiqua" w:hAnsi="Book Antiqua" w:cs="Book Antiqua"/>
          <w:sz w:val="24"/>
          <w:szCs w:val="24"/>
          <w:lang w:val="id-ID" w:eastAsia="en-US"/>
        </w:rPr>
        <w:t>To quote as said by Fence M. Wantu in his Journal that the essence of justice is an assessment from one person to another, which is generally seen from the party receiving the treatment only.</w:t>
      </w:r>
      <w:r>
        <w:rPr>
          <w:rStyle w:val="FootnoteAnchor"/>
          <w:rFonts w:ascii="Book Antiqua" w:hAnsi="Book Antiqua" w:cs="Book Antiqua"/>
          <w:bCs/>
          <w:sz w:val="24"/>
          <w:szCs w:val="24"/>
          <w:lang w:val="id-ID" w:eastAsia="en-US"/>
        </w:rPr>
        <w:footnoteReference w:id="21"/>
      </w:r>
      <w:r>
        <w:rPr>
          <w:rFonts w:ascii="Book Antiqua" w:hAnsi="Book Antiqua" w:cs="Book Antiqua"/>
          <w:bCs/>
          <w:sz w:val="24"/>
          <w:szCs w:val="24"/>
          <w:lang w:val="id-ID" w:eastAsia="en-US"/>
        </w:rPr>
        <w:t>quoting as said by Suwitno Yutye Imran that Justice serves as a guide to distinguish between fair and unfair actions, elements of the aspect of justice can be contained in the substance.</w:t>
      </w:r>
      <w:r>
        <w:rPr>
          <w:rStyle w:val="FootnoteAnchor"/>
          <w:rFonts w:ascii="Book Antiqua" w:hAnsi="Book Antiqua" w:cs="Book Antiqua"/>
          <w:bCs/>
          <w:sz w:val="24"/>
          <w:szCs w:val="24"/>
          <w:lang w:val="id-ID" w:eastAsia="en-US"/>
        </w:rPr>
        <w:footnoteReference w:id="22"/>
      </w:r>
    </w:p>
    <w:p w:rsidR="00BA10A9" w:rsidRDefault="0012717F">
      <w:pPr>
        <w:pStyle w:val="DaftarParagraf"/>
        <w:spacing w:after="0" w:line="240" w:lineRule="auto"/>
        <w:ind w:left="0" w:firstLine="567"/>
        <w:jc w:val="both"/>
      </w:pPr>
      <w:r>
        <w:rPr>
          <w:rFonts w:ascii="Book Antiqua" w:hAnsi="Book Antiqua" w:cs="Book Antiqua"/>
          <w:sz w:val="24"/>
          <w:szCs w:val="24"/>
          <w:lang w:val="id-ID" w:eastAsia="en-US"/>
        </w:rPr>
        <w:t>According to the author of Law Number 35 of 2009 concerning Narcotics, there are targets for law enforcement, namely first to carry out rehabilitative law enforcement, in the form of law enforcement without coercive measures in the form of detention, instead being placed in a rehabilitation institution and punished with rehabilitation punishment. Second, carry out repressive law enforcement, in the form of law enforcement by detaining and giving prison sentences. The Narcotics Law is to distinguish the response to abusers and dealers. Traffickers are eradicated while abusers are guaranteed to get rehabilitation efforts. There are two reasons why law enforcement against narcotics abusers is an additional mission for law enforcement. First, because tackling narcotics abusers is the main mission of the apparatus carrying the rehabilitation function because the Narcotics Law requires abusers whose condition is narcotics dependence must undergo rehabilitation. Second, narcotics crimes, consisting of crimes of abuse and crimes of trafficking, must be separated because of different directions.</w:t>
      </w:r>
      <w:r>
        <w:rPr>
          <w:rStyle w:val="FootnoteAnchor"/>
          <w:rFonts w:ascii="Book Antiqua" w:hAnsi="Book Antiqua" w:cs="Book Antiqua"/>
          <w:sz w:val="24"/>
          <w:szCs w:val="24"/>
          <w:lang w:val="id-ID" w:eastAsia="en-US"/>
        </w:rPr>
        <w:footnoteReference w:id="23"/>
      </w:r>
      <w:r>
        <w:rPr>
          <w:rFonts w:ascii="Book Antiqua" w:hAnsi="Book Antiqua" w:cs="Book Antiqua"/>
          <w:sz w:val="24"/>
          <w:szCs w:val="24"/>
          <w:lang w:val="id-ID" w:eastAsia="en-US"/>
        </w:rPr>
        <w:t xml:space="preserve"> </w:t>
      </w:r>
    </w:p>
    <w:p w:rsidR="00BA10A9" w:rsidRDefault="0012717F">
      <w:pPr>
        <w:pStyle w:val="DaftarParagraf"/>
        <w:spacing w:after="0" w:line="240" w:lineRule="auto"/>
        <w:ind w:left="0" w:firstLine="567"/>
        <w:jc w:val="both"/>
        <w:rPr>
          <w:rFonts w:ascii="Book Antiqua" w:hAnsi="Book Antiqua" w:cs="Book Antiqua"/>
          <w:bCs/>
          <w:sz w:val="24"/>
          <w:szCs w:val="24"/>
          <w:lang w:val="id-ID" w:eastAsia="en-US"/>
        </w:rPr>
      </w:pPr>
      <w:r>
        <w:rPr>
          <w:rFonts w:ascii="Book Antiqua" w:hAnsi="Book Antiqua" w:cs="Book Antiqua"/>
          <w:sz w:val="24"/>
          <w:szCs w:val="24"/>
          <w:lang w:val="id-ID" w:eastAsia="en-US"/>
        </w:rPr>
        <w:t>Therefore, law enforcement, especially all stakeholders, must act decisively and seriously in dealing with crime to ensure social welfare for the community.</w:t>
      </w:r>
      <w:r>
        <w:rPr>
          <w:rStyle w:val="FootnoteAnchor"/>
          <w:rFonts w:ascii="Book Antiqua" w:hAnsi="Book Antiqua" w:cs="Book Antiqua"/>
          <w:sz w:val="24"/>
          <w:szCs w:val="24"/>
          <w:lang w:val="id-ID" w:eastAsia="en-US"/>
        </w:rPr>
        <w:footnoteReference w:id="24"/>
      </w:r>
      <w:r>
        <w:rPr>
          <w:rFonts w:ascii="Book Antiqua" w:hAnsi="Book Antiqua" w:cs="Book Antiqua"/>
          <w:sz w:val="24"/>
          <w:szCs w:val="24"/>
          <w:vertAlign w:val="superscript"/>
          <w:lang w:val="id-ID" w:eastAsia="en-US"/>
        </w:rPr>
        <w:t xml:space="preserve"> </w:t>
      </w:r>
      <w:r>
        <w:rPr>
          <w:rFonts w:ascii="Book Antiqua" w:hAnsi="Book Antiqua" w:cs="Book Antiqua"/>
          <w:bCs/>
          <w:sz w:val="24"/>
          <w:szCs w:val="24"/>
          <w:lang w:val="id-ID" w:eastAsia="en-US"/>
        </w:rPr>
        <w:t>The improvement of people's welfare facilitated by this law is certainly synergistic with Subekti who has the thought that "the law is dedicated to the direction of the state which in essence is to produce glory and joy for the people."</w:t>
      </w:r>
      <w:r>
        <w:rPr>
          <w:rStyle w:val="FootnoteAnchor"/>
          <w:rFonts w:ascii="Book Antiqua" w:hAnsi="Book Antiqua" w:cs="Book Antiqua"/>
          <w:bCs/>
          <w:sz w:val="24"/>
          <w:szCs w:val="24"/>
          <w:lang w:val="id-ID" w:eastAsia="en-US"/>
        </w:rPr>
        <w:footnoteReference w:id="25"/>
      </w:r>
    </w:p>
    <w:p w:rsidR="00BA10A9" w:rsidRDefault="0012717F">
      <w:pPr>
        <w:pStyle w:val="DaftarParagraf"/>
        <w:spacing w:after="0" w:line="240" w:lineRule="auto"/>
        <w:ind w:left="0" w:firstLine="567"/>
        <w:jc w:val="both"/>
        <w:rPr>
          <w:rFonts w:ascii="Book Antiqua" w:hAnsi="Book Antiqua" w:cs="Book Antiqua"/>
          <w:sz w:val="24"/>
          <w:szCs w:val="24"/>
          <w:lang w:val="id-ID" w:eastAsia="en-US"/>
        </w:rPr>
      </w:pPr>
      <w:r>
        <w:rPr>
          <w:rFonts w:ascii="Book Antiqua" w:hAnsi="Book Antiqua" w:cs="Book Antiqua"/>
          <w:sz w:val="24"/>
          <w:szCs w:val="24"/>
          <w:lang w:val="id-ID" w:eastAsia="en-US"/>
        </w:rPr>
        <w:t>In the author's opinion, in order to be able to carry out the aims and objectives of Law Number 39 of 2009 concerning Narcotics and the mission of law enforcement to be rehabilitative to abusers, law enforcers, namely investigators, public prosecutors, and judges are given the authority to use coercive measures in the form of placing suspects/defendants of narcotics abusers. into rehabilitation institutions at all levels of examination. It is necessary to emphasize again that those who can undergo rehabilitation in narcotics cases are the category of addicts and victims of narcotics abuse. In addition to these two categories, those involved in narcotics cases must and must undergo legal processes, for example the category of dealers. Therefore, Before undergoing rehabilitation, there is an examination process to conclude whether it is true that the person concerned is only a user or victim of abuse, and not a narcotics dealer himself. The author can describe that there are three institutions that play an important role in the implementation of rehabilitation, namely the Ministry of Health, the National Narcotics Agency, and the Ministry of Social Affairs. The three institutions have their respective roles that need each other in order to save the community from drug addiction. The author also believes that the synergy between the three institutions is very much needed. The three institutions have their respective roles that need each other in order to save the community from drug addiction. The author also believes that the synergy between the three institutions is very much needed. The three institutions have their respective roles that need each other in order to save the community from drug addiction. The author also believes that the synergy between the three institutions is very much needed.</w:t>
      </w:r>
      <w:bookmarkStart w:id="1" w:name="_Hlk105530060"/>
      <w:bookmarkEnd w:id="1"/>
    </w:p>
    <w:p w:rsidR="00BA10A9" w:rsidRDefault="0012717F">
      <w:pPr>
        <w:spacing w:after="0" w:line="240" w:lineRule="auto"/>
        <w:ind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In addition to the role of the National Narcotics Agency and the Ministry of Social Affairs in general, the Ministry of Health has an important role in addition to the National Narcotics Agency. The Ministry of Health oversees existing hospitals specifically dealing with rehabilitation. Each drug rehabilitation hospital has a special program for victims of narcotics, addictive substances and psychotropic substances. The treatment program is aimed at drug users. The goal is to treat dependence and cure diseases as a result of drug use, as well as stop drug use. Not just anyone can treat drug users. Drug use is often followed by the entry of dangerous diseases and mental and moral disorders. Treatment should be carried out by a doctor who studies drugs specifically.</w:t>
      </w:r>
      <w:r>
        <w:rPr>
          <w:rStyle w:val="FootnoteAnchor"/>
          <w:rFonts w:ascii="Book Antiqua" w:hAnsi="Book Antiqua" w:cs="Book Antiqua"/>
          <w:sz w:val="24"/>
          <w:szCs w:val="24"/>
          <w:lang w:val="id-ID" w:eastAsia="en-US"/>
        </w:rPr>
        <w:footnoteReference w:id="26"/>
      </w:r>
      <w:bookmarkStart w:id="2" w:name="_Hlk105530183"/>
      <w:r>
        <w:rPr>
          <w:rFonts w:ascii="Book Antiqua" w:hAnsi="Book Antiqua" w:cs="Book Antiqua"/>
          <w:sz w:val="24"/>
          <w:szCs w:val="24"/>
          <w:lang w:val="id-ID" w:eastAsia="en-US"/>
        </w:rPr>
        <w:t>The stages in the process of implementing the rehabilitation are the pre-rehabilitation stage, the stage of implementing the rehabilitation and the stage of fostering the results of the rehabilitation. For more details, the rehabilitation stages will be described as follows:</w:t>
      </w:r>
      <w:r>
        <w:rPr>
          <w:rStyle w:val="FootnoteAnchor"/>
          <w:rFonts w:ascii="Book Antiqua" w:hAnsi="Book Antiqua" w:cs="Book Antiqua"/>
          <w:sz w:val="24"/>
          <w:szCs w:val="24"/>
          <w:lang w:val="id-ID" w:eastAsia="en-US"/>
        </w:rPr>
        <w:footnoteReference w:id="27"/>
      </w:r>
    </w:p>
    <w:p w:rsidR="00BA10A9" w:rsidRDefault="0012717F">
      <w:pPr>
        <w:pStyle w:val="DaftarParagraf"/>
        <w:numPr>
          <w:ilvl w:val="0"/>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pre-rehabilitation stage includes:</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Guidance and counseling to clients, families and communities.</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Motivate clients to participate in developing a rehabilitation program.</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Convincing the client rehabilitation will be successful if there is a teamwork of experts and patients.</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Client self-examination.</w:t>
      </w:r>
    </w:p>
    <w:p w:rsidR="00BA10A9" w:rsidRDefault="0012717F">
      <w:pPr>
        <w:pStyle w:val="DaftarParagraf"/>
        <w:numPr>
          <w:ilvl w:val="0"/>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rehabilitation implementation phase includes:</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client is already running a rehabilitation program.</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Clients receive rehabilitation services, namely rehabilitation: medical, rehabilitation, vocational, and social rehabilitation.</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implementation of these three types of rehabilitation takes place simultaneously in a period.</w:t>
      </w:r>
    </w:p>
    <w:p w:rsidR="00BA10A9" w:rsidRDefault="0012717F">
      <w:pPr>
        <w:pStyle w:val="DaftarParagraf"/>
        <w:numPr>
          <w:ilvl w:val="0"/>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Implementation of rehabilitation, including:</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stage of building rehabilitation results. Given to clients who have already run a rehabilitation program and are considered ready to be independent and return to the community.</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To solidify the results of the rehabilitation, the client is still being fostered, and an evaluation is carried out whether the client has really been able to adjust to the community, and whether the community is willing to accept his presence. At this stage there are usually two forms of activity;</w:t>
      </w:r>
    </w:p>
    <w:p w:rsidR="00BA10A9" w:rsidRDefault="0012717F">
      <w:pPr>
        <w:pStyle w:val="DaftarParagraf"/>
        <w:numPr>
          <w:ilvl w:val="2"/>
          <w:numId w:val="3"/>
        </w:numPr>
        <w:spacing w:after="160" w:line="240" w:lineRule="auto"/>
        <w:ind w:left="2127"/>
        <w:jc w:val="both"/>
        <w:rPr>
          <w:rFonts w:ascii="Book Antiqua" w:hAnsi="Book Antiqua" w:cs="Book Antiqua"/>
          <w:sz w:val="24"/>
          <w:szCs w:val="24"/>
          <w:lang w:val="id-ID" w:eastAsia="en-US"/>
        </w:rPr>
      </w:pPr>
      <w:r>
        <w:rPr>
          <w:rFonts w:ascii="Book Antiqua" w:hAnsi="Book Antiqua" w:cs="Book Antiqua"/>
          <w:sz w:val="24"/>
          <w:szCs w:val="24"/>
          <w:lang w:val="id-ID" w:eastAsia="en-US"/>
        </w:rPr>
        <w:t>pre-distribution activities,</w:t>
      </w:r>
    </w:p>
    <w:p w:rsidR="00BA10A9" w:rsidRDefault="0012717F">
      <w:pPr>
        <w:pStyle w:val="DaftarParagraf"/>
        <w:numPr>
          <w:ilvl w:val="2"/>
          <w:numId w:val="3"/>
        </w:numPr>
        <w:spacing w:after="160" w:line="240" w:lineRule="auto"/>
        <w:ind w:left="2127"/>
        <w:jc w:val="both"/>
        <w:rPr>
          <w:rFonts w:ascii="Book Antiqua" w:hAnsi="Book Antiqua" w:cs="Book Antiqua"/>
          <w:sz w:val="24"/>
          <w:szCs w:val="24"/>
          <w:lang w:val="id-ID" w:eastAsia="en-US"/>
        </w:rPr>
      </w:pPr>
      <w:r>
        <w:rPr>
          <w:rFonts w:ascii="Book Antiqua" w:hAnsi="Book Antiqua" w:cs="Book Antiqua"/>
          <w:sz w:val="24"/>
          <w:szCs w:val="24"/>
          <w:lang w:val="id-ID" w:eastAsia="en-US"/>
        </w:rPr>
        <w:t>distribution and development activities.</w:t>
      </w:r>
      <w:bookmarkEnd w:id="2"/>
    </w:p>
    <w:p w:rsidR="00BA10A9" w:rsidRDefault="0012717F">
      <w:pPr>
        <w:pStyle w:val="DaftarParagraf"/>
        <w:numPr>
          <w:ilvl w:val="0"/>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Rehabilitation Goals and Objectives:</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Restoring a sense of self-esteem, confidence, awareness and responsibility for the future of self, family and society or social environment.</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Restoring the ability to be able to carry out their social functions properly.</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In addition to physical healing as well as overall social healing.</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People with disabilities achieve mental, physical, psychological and social independence, in the absence of a balance between what they can and cannot do.</w:t>
      </w:r>
    </w:p>
    <w:p w:rsidR="00BA10A9" w:rsidRDefault="0012717F">
      <w:pPr>
        <w:pStyle w:val="DaftarParagraf"/>
        <w:numPr>
          <w:ilvl w:val="1"/>
          <w:numId w:val="3"/>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Rehabilitation for addicts and victims of narcotics abuse is carried out, with the aim of restoring and developing the physical, mental and social abilities of the sufferer concerned.</w:t>
      </w:r>
    </w:p>
    <w:p w:rsidR="00BA10A9" w:rsidRDefault="0012717F">
      <w:pPr>
        <w:spacing w:line="240" w:lineRule="auto"/>
        <w:ind w:firstLine="720"/>
        <w:jc w:val="both"/>
      </w:pPr>
      <w:r>
        <w:rPr>
          <w:rFonts w:ascii="Book Antiqua" w:hAnsi="Book Antiqua" w:cs="Book Antiqua"/>
          <w:sz w:val="24"/>
          <w:szCs w:val="24"/>
          <w:lang w:val="id-ID" w:eastAsia="en-US"/>
        </w:rPr>
        <w:t>The implementation of rehabilitation for narcotics users and abusers is one of the objectives of the establishment of Law Number 35 of 2009 concerning Narcotics as confirmed in Article 14 letter d that the Narcotics Law aims to ensure the regulation of medical and social rehabilitation efforts for narcotics abusers and addicts. Therefore, if you read the Narcotics Law, it will be found that rehabilitation is mentioned 32 times. The process for addicts and victims of narcotics abuse to be able to undergo rehabilitation can occur through two things, first by voluntarily reporting themselves to the Rehabilitation Institute, secondly through a judge's decision while undergoing a legal process.</w:t>
      </w:r>
      <w:r>
        <w:rPr>
          <w:rStyle w:val="FootnoteAnchor"/>
          <w:rFonts w:ascii="Book Antiqua" w:hAnsi="Book Antiqua" w:cs="Book Antiqua"/>
          <w:sz w:val="24"/>
          <w:szCs w:val="24"/>
          <w:lang w:val="id-ID" w:eastAsia="en-US"/>
        </w:rPr>
        <w:footnoteReference w:id="28"/>
      </w:r>
      <w:r>
        <w:rPr>
          <w:rFonts w:ascii="Book Antiqua" w:hAnsi="Book Antiqua" w:cs="Book Antiqua"/>
          <w:sz w:val="24"/>
          <w:szCs w:val="24"/>
          <w:lang w:val="id-ID" w:eastAsia="en-US"/>
        </w:rPr>
        <w:t>Then in practice, although not undergoing a legal process until the court stage, an addict or narcotics abuser can undergo rehabilitation if during the investigation process the person concerned is willing to be referred to the Rehabilitation Institute to undergo a medical assessment. If the person concerned is confirmed as a user and permitted by the investigator, he or she will undergo rehabilitation.</w:t>
      </w:r>
      <w:r>
        <w:rPr>
          <w:rStyle w:val="FootnoteAnchor"/>
          <w:rFonts w:ascii="Book Antiqua" w:hAnsi="Book Antiqua" w:cs="Book Antiqua"/>
          <w:sz w:val="24"/>
          <w:szCs w:val="24"/>
          <w:lang w:val="id-ID" w:eastAsia="en-US"/>
        </w:rPr>
        <w:footnoteReference w:id="29"/>
      </w:r>
      <w:r>
        <w:rPr>
          <w:rFonts w:ascii="Book Antiqua" w:hAnsi="Book Antiqua" w:cs="Book Antiqua"/>
          <w:sz w:val="24"/>
          <w:szCs w:val="24"/>
          <w:lang w:val="id-ID" w:eastAsia="en-US"/>
        </w:rPr>
        <w:t xml:space="preserve"> </w:t>
      </w:r>
    </w:p>
    <w:p w:rsidR="00BA10A9" w:rsidRDefault="0012717F">
      <w:pPr>
        <w:spacing w:line="240" w:lineRule="auto"/>
        <w:ind w:firstLine="709"/>
        <w:jc w:val="both"/>
        <w:rPr>
          <w:rFonts w:ascii="Book Antiqua" w:hAnsi="Book Antiqua" w:cs="Book Antiqua"/>
          <w:sz w:val="24"/>
          <w:szCs w:val="24"/>
          <w:lang w:val="id-ID" w:eastAsia="en-US"/>
        </w:rPr>
      </w:pPr>
      <w:r>
        <w:rPr>
          <w:rFonts w:ascii="Book Antiqua" w:hAnsi="Book Antiqua" w:cs="Book Antiqua"/>
          <w:sz w:val="24"/>
          <w:szCs w:val="24"/>
          <w:lang w:val="id-ID" w:eastAsia="en-US"/>
        </w:rPr>
        <w:t>Rehabilitation of narcotics addicts is carried out in hospitals appointed by the minister. The suspect or defendant who, based on the decision of the Integrated Assessment Team undergoes medical rehabilitation, will then be handed over to the designated institution. Based on the Regulation of the Minister of Health Number 50 of 2015 concerning Technical Guidelines for the Implementation of Compulsory Reporting and Medical Rehabilitation for Addicts, Abusers, and Victims of Narcotics Abuse, the submission procedure is as follows:</w:t>
      </w:r>
      <w:r>
        <w:rPr>
          <w:rStyle w:val="FootnoteAnchor"/>
          <w:rFonts w:ascii="Book Antiqua" w:hAnsi="Book Antiqua" w:cs="Book Antiqua"/>
          <w:sz w:val="24"/>
          <w:szCs w:val="24"/>
          <w:lang w:val="id-ID" w:eastAsia="en-US"/>
        </w:rPr>
        <w:footnoteReference w:id="30"/>
      </w:r>
    </w:p>
    <w:p w:rsidR="00BA10A9" w:rsidRDefault="0012717F">
      <w:pPr>
        <w:spacing w:line="240" w:lineRule="auto"/>
        <w:jc w:val="both"/>
      </w:pPr>
      <w:r>
        <w:rPr>
          <w:rFonts w:ascii="Book Antiqua" w:hAnsi="Book Antiqua" w:cs="Book Antiqua"/>
          <w:b/>
          <w:bCs/>
          <w:sz w:val="24"/>
          <w:szCs w:val="24"/>
          <w:lang w:val="id-ID" w:eastAsia="en-US"/>
        </w:rPr>
        <w:t>Submission</w:t>
      </w:r>
      <w:r>
        <w:rPr>
          <w:rFonts w:ascii="Book Antiqua" w:hAnsi="Book Antiqua" w:cs="Book Antiqua"/>
          <w:sz w:val="24"/>
          <w:szCs w:val="24"/>
          <w:lang w:val="id-ID" w:eastAsia="en-US"/>
        </w:rPr>
        <w:t>:</w:t>
      </w:r>
    </w:p>
    <w:p w:rsidR="00BA10A9" w:rsidRDefault="0012717F">
      <w:pPr>
        <w:pStyle w:val="DaftarParagraf"/>
        <w:numPr>
          <w:ilvl w:val="2"/>
          <w:numId w:val="2"/>
        </w:numPr>
        <w:spacing w:after="160" w:line="240" w:lineRule="auto"/>
        <w:ind w:left="709"/>
        <w:jc w:val="both"/>
        <w:rPr>
          <w:rFonts w:ascii="Book Antiqua" w:hAnsi="Book Antiqua" w:cs="Book Antiqua"/>
          <w:sz w:val="24"/>
          <w:szCs w:val="24"/>
          <w:lang w:val="id-ID" w:eastAsia="en-US"/>
        </w:rPr>
      </w:pPr>
      <w:r>
        <w:rPr>
          <w:rFonts w:ascii="Book Antiqua" w:hAnsi="Book Antiqua" w:cs="Book Antiqua"/>
          <w:sz w:val="24"/>
          <w:szCs w:val="24"/>
          <w:lang w:val="id-ID" w:eastAsia="en-US"/>
        </w:rPr>
        <w:t>The submission is carried out by the investigator or public prosecutor accompanied by the family and the National Narcotics Agency by attaching a recommendation for a rehabilitation therapy plan from the Integrated Assessment Team.</w:t>
      </w:r>
    </w:p>
    <w:p w:rsidR="00BA10A9" w:rsidRDefault="0012717F">
      <w:pPr>
        <w:pStyle w:val="DaftarParagraf"/>
        <w:numPr>
          <w:ilvl w:val="2"/>
          <w:numId w:val="2"/>
        </w:numPr>
        <w:spacing w:after="160" w:line="240" w:lineRule="auto"/>
        <w:ind w:left="709"/>
        <w:jc w:val="both"/>
        <w:rPr>
          <w:rFonts w:ascii="Book Antiqua" w:hAnsi="Book Antiqua" w:cs="Book Antiqua"/>
          <w:sz w:val="24"/>
          <w:szCs w:val="24"/>
          <w:lang w:val="id-ID" w:eastAsia="en-US"/>
        </w:rPr>
      </w:pPr>
      <w:r>
        <w:rPr>
          <w:rFonts w:ascii="Book Antiqua" w:hAnsi="Book Antiqua" w:cs="Book Antiqua"/>
          <w:sz w:val="24"/>
          <w:szCs w:val="24"/>
          <w:lang w:val="id-ID" w:eastAsia="en-US"/>
        </w:rPr>
        <w:t>The handover is done during the administrative working hours of the designated medical rehabilitation facility.</w:t>
      </w:r>
    </w:p>
    <w:p w:rsidR="00BA10A9" w:rsidRDefault="0012717F">
      <w:pPr>
        <w:pStyle w:val="DaftarParagraf"/>
        <w:numPr>
          <w:ilvl w:val="2"/>
          <w:numId w:val="2"/>
        </w:numPr>
        <w:spacing w:after="160" w:line="240" w:lineRule="auto"/>
        <w:ind w:left="709"/>
        <w:jc w:val="both"/>
        <w:rPr>
          <w:rFonts w:ascii="Book Antiqua" w:hAnsi="Book Antiqua" w:cs="Book Antiqua"/>
          <w:sz w:val="24"/>
          <w:szCs w:val="24"/>
          <w:lang w:val="id-ID" w:eastAsia="en-US"/>
        </w:rPr>
      </w:pPr>
      <w:r>
        <w:rPr>
          <w:rFonts w:ascii="Book Antiqua" w:hAnsi="Book Antiqua" w:cs="Book Antiqua"/>
          <w:sz w:val="24"/>
          <w:szCs w:val="24"/>
          <w:lang w:val="id-ID" w:eastAsia="en-US"/>
        </w:rPr>
        <w:t>The handover of the suspect or defendant at the designated rehabilitation facility must be accompanied by the provision of informed consent (ie approval after receiving information from the rehabilitation facility) from the suspect or defendant, witnessed by the investigator or public prosecutor and his family.</w:t>
      </w:r>
    </w:p>
    <w:p w:rsidR="00BA10A9" w:rsidRDefault="0012717F">
      <w:pPr>
        <w:spacing w:line="240" w:lineRule="auto"/>
        <w:jc w:val="both"/>
      </w:pPr>
      <w:r>
        <w:rPr>
          <w:rFonts w:ascii="Book Antiqua" w:hAnsi="Book Antiqua" w:cs="Book Antiqua"/>
          <w:b/>
          <w:bCs/>
          <w:sz w:val="24"/>
          <w:szCs w:val="24"/>
          <w:lang w:val="id-ID" w:eastAsia="en-US"/>
        </w:rPr>
        <w:t>Implementation</w:t>
      </w:r>
      <w:r>
        <w:rPr>
          <w:rFonts w:ascii="Book Antiqua" w:hAnsi="Book Antiqua" w:cs="Book Antiqua"/>
          <w:sz w:val="24"/>
          <w:szCs w:val="24"/>
          <w:lang w:val="id-ID" w:eastAsia="en-US"/>
        </w:rPr>
        <w:t>:</w:t>
      </w:r>
    </w:p>
    <w:p w:rsidR="00BA10A9" w:rsidRDefault="0012717F">
      <w:pPr>
        <w:pStyle w:val="DaftarParagraf"/>
        <w:numPr>
          <w:ilvl w:val="0"/>
          <w:numId w:val="5"/>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Medical rehabilitation for suspects or defendants is carried out by means of inpatient or outpatient treatment in accordance with a written official request from the police, BNN/BNNP/BNNK (investigators), or the prosecutor's office (public prosecutor) based on recommendations for a rehabilitation therapy plan from the Integrated Assessment Team, to a maximum period of 3 (three) months.</w:t>
      </w:r>
    </w:p>
    <w:p w:rsidR="00BA10A9" w:rsidRDefault="0012717F">
      <w:pPr>
        <w:pStyle w:val="DaftarParagraf"/>
        <w:numPr>
          <w:ilvl w:val="0"/>
          <w:numId w:val="5"/>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In the event that the suspect or defendant undergoes inpatient rehabilitation therapy, while undergoing care at a medical rehabilitation facility, there are several things that the patient must pay attention to, namely:</w:t>
      </w:r>
    </w:p>
    <w:p w:rsidR="00BA10A9" w:rsidRDefault="0012717F">
      <w:pPr>
        <w:pStyle w:val="DaftarParagraf"/>
        <w:numPr>
          <w:ilvl w:val="0"/>
          <w:numId w:val="4"/>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must follow the program determined by the medical rehabilitation facility;</w:t>
      </w:r>
    </w:p>
    <w:p w:rsidR="00BA10A9" w:rsidRDefault="0012717F">
      <w:pPr>
        <w:pStyle w:val="DaftarParagraf"/>
        <w:numPr>
          <w:ilvl w:val="0"/>
          <w:numId w:val="4"/>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Do not bring communication tools; and</w:t>
      </w:r>
    </w:p>
    <w:p w:rsidR="00BA10A9" w:rsidRDefault="0012717F">
      <w:pPr>
        <w:pStyle w:val="DaftarParagraf"/>
        <w:numPr>
          <w:ilvl w:val="0"/>
          <w:numId w:val="4"/>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Communication with family / other parties must be through health workers who carry out rehabilitation.</w:t>
      </w:r>
    </w:p>
    <w:p w:rsidR="00BA10A9" w:rsidRDefault="0012717F">
      <w:pPr>
        <w:pStyle w:val="DaftarParagraf"/>
        <w:numPr>
          <w:ilvl w:val="0"/>
          <w:numId w:val="5"/>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In the event that the suspect or defendant undergoes outpatient rehabilitation therapy, the authority to bring the suspect or defendant to the rehabilitation process rests with the investigator or public prosecutor (depending on the level of the case).</w:t>
      </w:r>
    </w:p>
    <w:p w:rsidR="00BA10A9" w:rsidRDefault="0012717F">
      <w:pPr>
        <w:pStyle w:val="DaftarParagraf"/>
        <w:numPr>
          <w:ilvl w:val="0"/>
          <w:numId w:val="5"/>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The medical rehabilitation facility provides information to the court which determines 2 (two) weeks before the completion of the rehabilitation period.</w:t>
      </w:r>
    </w:p>
    <w:p w:rsidR="00BA10A9" w:rsidRDefault="0012717F">
      <w:pPr>
        <w:pStyle w:val="DaftarParagraf"/>
        <w:numPr>
          <w:ilvl w:val="0"/>
          <w:numId w:val="5"/>
        </w:numPr>
        <w:spacing w:after="160" w:line="240" w:lineRule="auto"/>
        <w:jc w:val="both"/>
        <w:rPr>
          <w:rFonts w:ascii="Book Antiqua" w:hAnsi="Book Antiqua" w:cs="Book Antiqua"/>
          <w:sz w:val="24"/>
          <w:szCs w:val="24"/>
          <w:lang w:val="id-ID" w:eastAsia="en-US"/>
        </w:rPr>
      </w:pPr>
      <w:r>
        <w:rPr>
          <w:rFonts w:ascii="Book Antiqua" w:hAnsi="Book Antiqua" w:cs="Book Antiqua"/>
          <w:sz w:val="24"/>
          <w:szCs w:val="24"/>
          <w:lang w:val="id-ID" w:eastAsia="en-US"/>
        </w:rPr>
        <w:t>Patients who have finished undergoing rehabilitation therapy as referred to in letter b are returned to the party who entrusted the suspect or defendant (investigator or public prosecutor) by submitting the final resume of the rehabilitation therapy activity.</w:t>
      </w:r>
    </w:p>
    <w:p w:rsidR="00BA10A9" w:rsidRDefault="0012717F">
      <w:pPr>
        <w:spacing w:line="240" w:lineRule="auto"/>
        <w:ind w:firstLine="720"/>
        <w:jc w:val="both"/>
        <w:rPr>
          <w:rFonts w:ascii="Book Antiqua" w:hAnsi="Book Antiqua" w:cs="Book Antiqua"/>
          <w:sz w:val="24"/>
          <w:szCs w:val="24"/>
          <w:lang w:val="id-ID" w:eastAsia="en-US"/>
        </w:rPr>
      </w:pPr>
      <w:r>
        <w:rPr>
          <w:rFonts w:ascii="Book Antiqua" w:hAnsi="Book Antiqua" w:cs="Book Antiqua"/>
          <w:sz w:val="24"/>
          <w:szCs w:val="24"/>
          <w:lang w:val="id-ID" w:eastAsia="en-US"/>
        </w:rPr>
        <w:t>After undergoing medical rehabilitation or detoxification, it will continue to social rehabilitation which is divided into several stages.</w:t>
      </w:r>
      <w:r>
        <w:rPr>
          <w:rStyle w:val="FootnoteAnchor"/>
          <w:rFonts w:ascii="Book Antiqua" w:hAnsi="Book Antiqua" w:cs="Book Antiqua"/>
          <w:sz w:val="24"/>
          <w:szCs w:val="24"/>
          <w:lang w:val="id-ID" w:eastAsia="en-US"/>
        </w:rPr>
        <w:footnoteReference w:id="31"/>
      </w:r>
    </w:p>
    <w:p w:rsidR="00BA10A9" w:rsidRDefault="0012717F">
      <w:pPr>
        <w:pStyle w:val="DaftarParagraf"/>
        <w:numPr>
          <w:ilvl w:val="3"/>
          <w:numId w:val="3"/>
        </w:numPr>
        <w:spacing w:after="160" w:line="240" w:lineRule="auto"/>
        <w:ind w:left="709"/>
        <w:jc w:val="both"/>
      </w:pPr>
      <w:r>
        <w:rPr>
          <w:rFonts w:ascii="Book Antiqua" w:hAnsi="Book Antiqua" w:cs="Book Antiqua"/>
          <w:i/>
          <w:sz w:val="24"/>
          <w:szCs w:val="24"/>
          <w:lang w:val="id-ID" w:eastAsia="en-US"/>
        </w:rPr>
        <w:t>Entry</w:t>
      </w:r>
      <w:r>
        <w:rPr>
          <w:rFonts w:ascii="Book Antiqua" w:hAnsi="Book Antiqua" w:cs="Book Antiqua"/>
          <w:sz w:val="24"/>
          <w:szCs w:val="24"/>
          <w:lang w:val="id-ID" w:eastAsia="en-US"/>
        </w:rPr>
        <w:t>(Orientation), at this stage the resident is given an explanation and given direction to adapt to the environment and regulations applied by the rehabilitation center. This stage is carried out within a period of 2 (two) weeks.</w:t>
      </w:r>
    </w:p>
    <w:p w:rsidR="00BA10A9" w:rsidRDefault="0012717F">
      <w:pPr>
        <w:pStyle w:val="DaftarParagraf"/>
        <w:numPr>
          <w:ilvl w:val="3"/>
          <w:numId w:val="3"/>
        </w:numPr>
        <w:spacing w:after="160" w:line="240" w:lineRule="auto"/>
        <w:ind w:left="709"/>
        <w:jc w:val="both"/>
      </w:pPr>
      <w:r>
        <w:rPr>
          <w:rFonts w:ascii="Book Antiqua" w:hAnsi="Book Antiqua" w:cs="Book Antiqua"/>
          <w:i/>
          <w:sz w:val="24"/>
          <w:szCs w:val="24"/>
          <w:lang w:val="id-ID" w:eastAsia="en-US"/>
        </w:rPr>
        <w:t>Primary Stage</w:t>
      </w:r>
      <w:r>
        <w:rPr>
          <w:rFonts w:ascii="Book Antiqua" w:hAnsi="Book Antiqua" w:cs="Book Antiqua"/>
          <w:sz w:val="24"/>
          <w:szCs w:val="24"/>
          <w:lang w:val="id-ID" w:eastAsia="en-US"/>
        </w:rPr>
        <w:t>This stage consists of 3 main phases that must be carried out by residents, the first phase is the younger phase, the second is the middle phase, and the third is the older phase. In the younger process, residents will learn some initial points such as self-introduction and introduction to fellow residents, discipline, the concept of a healthy lifestyle, and assigning roles and tasks in groups as an effort to foster a sense of responsibility for themselves. The younger phase usually takes place within 2 (two) months. The second phase is the middle phase, this phase will deepen and strengthen a sense of self-discipline, increase self-confidence in the group, strengthen a healthy lifestyle, as well as the division of tasks and roles in groups as an effort to create a sense of shared responsibility (teamwork). , and strengthening to exercise self-control. Residents will undergo the middle phase within 1 (one) month. The third phase at this stage is older. This process makes residents have self-discipline strengthening into a necessity and no longer as coercion for residents, introduction to residents who are still at the younger stage, strengthening healthy lifestyles that are part of the resident's personality, strengthening in strengthening cooperation in groups and internal social life where residents live. rehabilitation as the initial form of the preparation process that will later return to social life, and is given tasks and roles in certain operations where the resident carries out the rehabilitation and coaching process given to younger residents.</w:t>
      </w:r>
    </w:p>
    <w:p w:rsidR="00BA10A9" w:rsidRDefault="0012717F">
      <w:pPr>
        <w:pStyle w:val="DaftarParagraf"/>
        <w:numPr>
          <w:ilvl w:val="3"/>
          <w:numId w:val="3"/>
        </w:numPr>
        <w:spacing w:after="160" w:line="240" w:lineRule="auto"/>
        <w:ind w:left="709"/>
        <w:jc w:val="both"/>
      </w:pPr>
      <w:r>
        <w:rPr>
          <w:rFonts w:ascii="Book Antiqua" w:hAnsi="Book Antiqua" w:cs="Book Antiqua"/>
          <w:i/>
          <w:sz w:val="24"/>
          <w:szCs w:val="24"/>
          <w:lang w:val="id-ID" w:eastAsia="en-US"/>
        </w:rPr>
        <w:t>Re-Entry Stage</w:t>
      </w:r>
      <w:r>
        <w:rPr>
          <w:rFonts w:ascii="Book Antiqua" w:hAnsi="Book Antiqua" w:cs="Book Antiqua"/>
          <w:sz w:val="24"/>
          <w:szCs w:val="24"/>
          <w:lang w:val="id-ID" w:eastAsia="en-US"/>
        </w:rPr>
        <w:t>This stage is divided into three parts, namely A, B, and C. In stage A, the resident will be asked to do an interest and aptitude test, discussion seminar or outbound with the aim of preparing the resident's mental self-confidence, and training in preparing a plan. Phase A is carried out for 1 (one) week. Next is stage B, which is carried out for one week. The activities carried out in stage B are focused on implementing the plans that have been prepared in stage A and accompanied by a counselor. Evaluation should also be carried out in stage B after carrying out the implementation of the plan. At stage B, the resident may get a visit from the family. The last stage is stage C which carries out an overall evaluation, and is given post-rehabilitation program socialization.</w:t>
      </w:r>
    </w:p>
    <w:p w:rsidR="00BA10A9" w:rsidRDefault="0012717F">
      <w:pPr>
        <w:spacing w:line="240" w:lineRule="auto"/>
        <w:ind w:firstLine="709"/>
        <w:jc w:val="both"/>
        <w:rPr>
          <w:rFonts w:ascii="Book Antiqua" w:hAnsi="Book Antiqua" w:cs="Book Antiqua"/>
          <w:sz w:val="24"/>
          <w:szCs w:val="24"/>
          <w:lang w:val="id-ID" w:eastAsia="en-US"/>
        </w:rPr>
      </w:pPr>
      <w:r>
        <w:rPr>
          <w:rFonts w:ascii="Book Antiqua" w:hAnsi="Book Antiqua" w:cs="Book Antiqua"/>
          <w:sz w:val="24"/>
          <w:szCs w:val="24"/>
          <w:lang w:val="id-ID" w:eastAsia="en-US"/>
        </w:rPr>
        <w:t>If the entire rehabilitation process is carried out properly, the required period of time is approximately six months. Residents have to go through all the stages above, but there are some residents who go through the rehabilitation process for more than 6 (six) months. This happened because the rehabilitation process returned to the resident himself and went through a process of assessment, evaluation and seeing the willingness of the resident himself to recover.</w:t>
      </w:r>
    </w:p>
    <w:p w:rsidR="00BA10A9" w:rsidRDefault="0012717F">
      <w:pPr>
        <w:spacing w:after="240" w:line="240" w:lineRule="auto"/>
        <w:ind w:firstLine="426"/>
        <w:jc w:val="both"/>
        <w:rPr>
          <w:rFonts w:ascii="Book Antiqua" w:hAnsi="Book Antiqua" w:cs="Calibri Light"/>
          <w:sz w:val="24"/>
          <w:szCs w:val="24"/>
          <w:lang w:val="id-ID" w:eastAsia="en-US"/>
        </w:rPr>
      </w:pPr>
      <w:r>
        <w:rPr>
          <w:rFonts w:ascii="Book Antiqua" w:hAnsi="Book Antiqua" w:cs="Book Antiqua"/>
          <w:sz w:val="24"/>
          <w:szCs w:val="24"/>
          <w:lang w:val="id-ID" w:eastAsia="en-US"/>
        </w:rPr>
        <w:t>The follow-up to the rehabilitation mandate stated in Article 54 of the Narcotics Law can be seen in the Regulation of the Minister of Health of the Republic of Indonesia No. 4 of 2020 concerning the Organization of Mandatory Reporting Acceptance Institutions. Compulsory Reporting Recipient Institutions, hereinafter abbreviated as IPWL, are public health centers, hospitals, and/or rehabilitation institutions appointed by the government. The Provincial BNN in order to improve the implementation of rehabilitation so far has established a number of eight IPWLs in Gorontalo, one of the most active being IPWL Ummu Syaidah. In addition, BNN has also formed cooperation with hospitals and health centers as government agencies involved in the implementation of rehabilitation. So far, there are 25 institutions that have been optimized and spread across all regencies/cities in the Gorontalo Province.</w:t>
      </w:r>
      <w:r>
        <w:rPr>
          <w:rStyle w:val="FootnoteAnchor"/>
          <w:rFonts w:ascii="Book Antiqua" w:hAnsi="Book Antiqua" w:cs="Book Antiqua"/>
          <w:sz w:val="24"/>
          <w:szCs w:val="24"/>
          <w:lang w:val="id-ID" w:eastAsia="en-US"/>
        </w:rPr>
        <w:footnoteReference w:id="32"/>
      </w:r>
    </w:p>
    <w:p w:rsidR="00BA10A9" w:rsidRDefault="0012717F">
      <w:pPr>
        <w:pStyle w:val="Judul1"/>
        <w:numPr>
          <w:ilvl w:val="0"/>
          <w:numId w:val="7"/>
        </w:numPr>
        <w:spacing w:before="0" w:after="0" w:line="240" w:lineRule="auto"/>
        <w:jc w:val="both"/>
        <w:rPr>
          <w:rFonts w:ascii="Book Antiqua" w:eastAsia="Arial Unicode MS" w:hAnsi="Book Antiqua" w:cs="Calibri Light"/>
          <w:b/>
          <w:lang w:val="id-ID" w:eastAsia="en-US"/>
        </w:rPr>
      </w:pPr>
      <w:r>
        <w:rPr>
          <w:rFonts w:ascii="Book Antiqua" w:eastAsia="Arial Unicode MS" w:hAnsi="Book Antiqua" w:cs="Calibri Light"/>
          <w:b/>
          <w:lang w:val="id-ID" w:eastAsia="en-US"/>
        </w:rPr>
        <w:t>Conclusion</w:t>
      </w:r>
    </w:p>
    <w:p w:rsidR="00BA10A9" w:rsidRDefault="0012717F">
      <w:pPr>
        <w:spacing w:line="240" w:lineRule="auto"/>
        <w:ind w:firstLine="360"/>
        <w:jc w:val="both"/>
        <w:rPr>
          <w:rFonts w:ascii="Book Antiqua" w:hAnsi="Book Antiqua" w:cs="Book Antiqua"/>
          <w:sz w:val="24"/>
          <w:szCs w:val="24"/>
          <w:lang w:val="id-ID" w:eastAsia="en-US"/>
        </w:rPr>
      </w:pPr>
      <w:r>
        <w:rPr>
          <w:rFonts w:ascii="Book Antiqua" w:hAnsi="Book Antiqua" w:cs="Book Antiqua"/>
          <w:sz w:val="24"/>
          <w:szCs w:val="24"/>
          <w:lang w:val="id-ID" w:eastAsia="en-US"/>
        </w:rPr>
        <w:t>In general, the mechanism for the implementation of rehabilitation is the stage of medical rehabilitation (detoxification), the stage of social rehabilitation (non-medical), and the last stage of further development. The mandate of Article 54 of the Narcotics Law related to rehabilitation obligations has been implemented in accordance with applicable regulations both in general and specifically for children who are not old enough</w:t>
      </w:r>
    </w:p>
    <w:p w:rsidR="00BA10A9" w:rsidRDefault="0012717F">
      <w:pPr>
        <w:spacing w:line="240" w:lineRule="auto"/>
        <w:ind w:firstLine="360"/>
        <w:jc w:val="both"/>
        <w:rPr>
          <w:rFonts w:ascii="Book Antiqua" w:hAnsi="Book Antiqua" w:cs="Book Antiqua"/>
          <w:b/>
          <w:sz w:val="24"/>
          <w:szCs w:val="24"/>
          <w:lang w:val="id-ID" w:eastAsia="en-US"/>
        </w:rPr>
      </w:pPr>
      <w:r>
        <w:rPr>
          <w:rFonts w:ascii="Book Antiqua" w:hAnsi="Book Antiqua" w:cs="Book Antiqua"/>
          <w:sz w:val="24"/>
          <w:szCs w:val="24"/>
          <w:lang w:val="id-ID" w:eastAsia="en-US"/>
        </w:rPr>
        <w:t>The National Narcotics Agency as the main party in the implementation of rehabilitation must maintain maximum performance. Then also the competent government, in this case the Gorontalo Provincial Government, would be able to assist the National Narcotics Agency in terms of improving rehabilitation facilities and infrastructure in the Gorontalo Province region in order to achieve a more optimal rehabilitation from the side of the implementer.</w:t>
      </w:r>
    </w:p>
    <w:p w:rsidR="00BA10A9" w:rsidRDefault="00BA10A9">
      <w:pPr>
        <w:pStyle w:val="DaftarParagraf"/>
        <w:spacing w:after="0" w:line="240" w:lineRule="auto"/>
        <w:ind w:left="0"/>
        <w:jc w:val="both"/>
        <w:rPr>
          <w:rFonts w:ascii="Book Antiqua" w:hAnsi="Book Antiqua" w:cs="Calibri Light"/>
          <w:b/>
          <w:bCs/>
          <w:sz w:val="28"/>
          <w:szCs w:val="24"/>
          <w:lang w:eastAsia="en-US"/>
        </w:rPr>
      </w:pPr>
    </w:p>
    <w:p w:rsidR="00BA10A9" w:rsidRDefault="00BA10A9">
      <w:pPr>
        <w:pStyle w:val="DaftarParagraf"/>
        <w:spacing w:after="0" w:line="240" w:lineRule="auto"/>
        <w:ind w:left="0"/>
        <w:jc w:val="both"/>
        <w:rPr>
          <w:rFonts w:ascii="Book Antiqua" w:hAnsi="Book Antiqua" w:cs="Calibri Light"/>
          <w:b/>
          <w:bCs/>
          <w:sz w:val="28"/>
          <w:lang w:eastAsia="en-US"/>
        </w:rPr>
      </w:pPr>
    </w:p>
    <w:p w:rsidR="00BA10A9" w:rsidRDefault="00BA10A9">
      <w:pPr>
        <w:pStyle w:val="DaftarParagraf"/>
        <w:spacing w:after="0" w:line="240" w:lineRule="auto"/>
        <w:ind w:left="0"/>
        <w:jc w:val="both"/>
        <w:rPr>
          <w:rFonts w:ascii="Book Antiqua" w:hAnsi="Book Antiqua" w:cs="Calibri Light"/>
          <w:b/>
          <w:bCs/>
          <w:sz w:val="28"/>
          <w:lang w:eastAsia="en-US"/>
        </w:rPr>
      </w:pPr>
    </w:p>
    <w:p w:rsidR="00BA10A9" w:rsidRDefault="00BA10A9">
      <w:pPr>
        <w:pStyle w:val="DaftarParagraf"/>
        <w:spacing w:after="0" w:line="240" w:lineRule="auto"/>
        <w:ind w:left="0"/>
        <w:jc w:val="both"/>
        <w:rPr>
          <w:rFonts w:ascii="Book Antiqua" w:hAnsi="Book Antiqua" w:cs="Calibri Light"/>
          <w:b/>
          <w:bCs/>
          <w:sz w:val="28"/>
          <w:lang w:eastAsia="en-US"/>
        </w:rPr>
      </w:pPr>
    </w:p>
    <w:p w:rsidR="00BA10A9" w:rsidRDefault="0012717F">
      <w:pPr>
        <w:pStyle w:val="DaftarParagraf"/>
        <w:spacing w:after="0" w:line="240" w:lineRule="auto"/>
        <w:ind w:left="0"/>
        <w:jc w:val="both"/>
        <w:rPr>
          <w:rFonts w:ascii="Book Antiqua" w:hAnsi="Book Antiqua" w:cs="Calibri Light"/>
          <w:b/>
          <w:bCs/>
          <w:sz w:val="28"/>
          <w:lang w:val="id-ID" w:eastAsia="en-US"/>
        </w:rPr>
      </w:pPr>
      <w:r>
        <w:rPr>
          <w:rFonts w:ascii="Book Antiqua" w:hAnsi="Book Antiqua" w:cs="Calibri Light"/>
          <w:b/>
          <w:bCs/>
          <w:sz w:val="28"/>
          <w:lang w:val="id-ID" w:eastAsia="en-US"/>
        </w:rPr>
        <w:t>Reference</w:t>
      </w:r>
    </w:p>
    <w:p w:rsidR="00BA10A9" w:rsidRDefault="0012717F">
      <w:pPr>
        <w:spacing w:line="240" w:lineRule="auto"/>
        <w:jc w:val="center"/>
        <w:rPr>
          <w:rFonts w:ascii="Book Antiqua" w:hAnsi="Book Antiqua" w:cs="Book Antiqua"/>
          <w:b/>
          <w:sz w:val="24"/>
          <w:szCs w:val="24"/>
          <w:lang w:val="id-ID" w:eastAsia="en-US"/>
        </w:rPr>
      </w:pPr>
      <w:r>
        <w:rPr>
          <w:rFonts w:ascii="Book Antiqua" w:hAnsi="Book Antiqua" w:cs="Book Antiqua"/>
          <w:b/>
          <w:sz w:val="24"/>
          <w:szCs w:val="24"/>
          <w:lang w:val="id-ID" w:eastAsia="en-US"/>
        </w:rPr>
        <w:t>Book</w:t>
      </w:r>
    </w:p>
    <w:p w:rsidR="00BA10A9" w:rsidRDefault="0012717F">
      <w:pPr>
        <w:spacing w:after="240" w:line="240" w:lineRule="auto"/>
        <w:ind w:left="851" w:hanging="851"/>
      </w:pPr>
      <w:r>
        <w:rPr>
          <w:rFonts w:ascii="Book Antiqua" w:hAnsi="Book Antiqua" w:cs="Book Antiqua"/>
          <w:sz w:val="24"/>
          <w:szCs w:val="24"/>
          <w:lang w:val="id-ID" w:eastAsia="en-US"/>
        </w:rPr>
        <w:t>Djoko Prakoso. et al. Crimes That Are Harmful And Dangerous to the State, PT Jakarta: Bina Aksara, 1986</w:t>
      </w:r>
    </w:p>
    <w:p w:rsidR="00BA10A9" w:rsidRDefault="0012717F">
      <w:pPr>
        <w:spacing w:after="240" w:line="240" w:lineRule="auto"/>
        <w:ind w:left="851" w:hanging="851"/>
      </w:pPr>
      <w:r>
        <w:rPr>
          <w:rFonts w:ascii="Book Antiqua" w:hAnsi="Book Antiqua" w:cs="Book Antiqua"/>
          <w:sz w:val="24"/>
          <w:szCs w:val="24"/>
          <w:lang w:val="id-ID" w:eastAsia="en-US"/>
        </w:rPr>
        <w:t>Koesno Adi. Child Narcotics Crime Diversion. Semarang: Equivalent Press, 2014.</w:t>
      </w:r>
    </w:p>
    <w:p w:rsidR="00BA10A9" w:rsidRDefault="0012717F">
      <w:pPr>
        <w:pStyle w:val="TeksCatatanKaki"/>
        <w:spacing w:after="240"/>
        <w:ind w:left="567" w:hanging="567"/>
        <w:jc w:val="both"/>
      </w:pPr>
      <w:r>
        <w:rPr>
          <w:rFonts w:ascii="Book Antiqua" w:hAnsi="Book Antiqua" w:cs="Book Antiqua"/>
          <w:sz w:val="24"/>
          <w:szCs w:val="24"/>
          <w:lang w:val="id-ID" w:eastAsia="en-US"/>
        </w:rPr>
        <w:t>Mukti Fajar &amp; Yulianto Achmad, Dualism in Legal Research (Normative and Empirical), Yogyakarta: Pustaka Pelajar, 2010</w:t>
      </w:r>
    </w:p>
    <w:p w:rsidR="00BA10A9" w:rsidRDefault="0012717F">
      <w:pPr>
        <w:pStyle w:val="TeksCatatanKaki"/>
        <w:spacing w:after="240"/>
        <w:ind w:left="567" w:hanging="567"/>
        <w:jc w:val="both"/>
      </w:pPr>
      <w:r>
        <w:rPr>
          <w:rFonts w:ascii="Book Antiqua" w:hAnsi="Book Antiqua" w:cs="Book Antiqua"/>
          <w:sz w:val="24"/>
          <w:szCs w:val="24"/>
          <w:lang w:val="id-ID" w:eastAsia="en-US"/>
        </w:rPr>
        <w:t>Setyawati et al. Book Series Dangers of Drugs Procedures for Rehabilitating Drug Addicts. Surakarta: PT. Tirta Asih Jaya, 2017.</w:t>
      </w:r>
    </w:p>
    <w:p w:rsidR="00BA10A9" w:rsidRDefault="0012717F">
      <w:pPr>
        <w:pStyle w:val="TeksCatatanKaki"/>
        <w:ind w:left="1134" w:hanging="1134"/>
        <w:jc w:val="center"/>
        <w:rPr>
          <w:rFonts w:ascii="Book Antiqua" w:hAnsi="Book Antiqua" w:cs="Book Antiqua"/>
          <w:b/>
          <w:sz w:val="24"/>
          <w:szCs w:val="24"/>
          <w:lang w:val="id-ID" w:eastAsia="en-US"/>
        </w:rPr>
      </w:pPr>
      <w:r>
        <w:rPr>
          <w:rFonts w:ascii="Book Antiqua" w:hAnsi="Book Antiqua" w:cs="Book Antiqua"/>
          <w:b/>
          <w:sz w:val="24"/>
          <w:szCs w:val="24"/>
          <w:lang w:val="id-ID" w:eastAsia="en-US"/>
        </w:rPr>
        <w:t>Journal</w:t>
      </w:r>
    </w:p>
    <w:p w:rsidR="00BA10A9" w:rsidRDefault="0012717F">
      <w:pPr>
        <w:pStyle w:val="TeksCatatanKaki"/>
        <w:spacing w:after="240"/>
        <w:ind w:left="851" w:hanging="851"/>
        <w:jc w:val="both"/>
        <w:rPr>
          <w:rFonts w:ascii="Book Antiqua" w:hAnsi="Book Antiqua" w:cs="Book Antiqua"/>
          <w:sz w:val="24"/>
          <w:szCs w:val="24"/>
          <w:lang w:val="id-ID" w:eastAsia="en-US"/>
        </w:rPr>
      </w:pPr>
      <w:r>
        <w:rPr>
          <w:rFonts w:ascii="Book Antiqua" w:hAnsi="Book Antiqua" w:cs="Book Antiqua"/>
          <w:sz w:val="24"/>
          <w:szCs w:val="24"/>
          <w:lang w:val="id-ID" w:eastAsia="en-US"/>
        </w:rPr>
        <w:t>Ahmad Zulfikar Musakir. The Effectiveness of the Medical and Social Rehabilitation Program for Victims of Narcotics and Drug Abuse in a Legal Sociology Perspective. Thesis, to fulfill part of the requirements to achieve the Degree of Master of Law, Faculty of Law, Hasanudin University, (2016).</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Ariefulloh. The Dilemma of the Implementation of Traffic Violation Sanctions Against Children. Journal of Law Review. 1 No. 2 (2019), 192-211.</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Arowana, Yudha Chandra. Mediation Path in the Settlement of Land Disputes as an Encouragement for the Fulfillment of Human Rights. Journal of Law Review. 1 No. 2 (2019), 212-236.</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Badu, Lisnawaty. Euthanasia and Human Rights. Legality Journal. 5 No. 1 (2012), 1-11.</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Dolot Alhasni Bakung, Mohamad Hidayat Muhtar. Determination of Legal Protection for Neighboring Right Holders. Journal of Law Review. 2 No. 1 (2020), 65-82.</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Dedi Sumanto, Titin Samsudin, Fikri Asnawi Amiruddin. The Existence of the Religious Court in Handling Divorce Cases on the Reason of Domestic Violence. Journal of Law Review. 3 No. 2 (2021), 214-230</w:t>
      </w:r>
    </w:p>
    <w:p w:rsidR="00BA10A9" w:rsidRPr="008A00A8" w:rsidRDefault="0012717F">
      <w:pPr>
        <w:spacing w:line="240" w:lineRule="auto"/>
        <w:ind w:left="567" w:hanging="567"/>
        <w:jc w:val="both"/>
      </w:pPr>
      <w:r w:rsidRPr="008A00A8">
        <w:rPr>
          <w:rFonts w:ascii="Book Antiqua" w:hAnsi="Book Antiqua" w:cs="Book Antiqua"/>
          <w:sz w:val="24"/>
          <w:szCs w:val="24"/>
          <w:lang w:val="id-ID" w:eastAsia="en-US"/>
        </w:rPr>
        <w:t>Dian Ekawaty Ismail, Mohamad Taufiq Zulfikar Sarson. (2021). Criminology Analysis of Women's as Perpetrators of Domestic Violence Crimes. Journal of Law Review. 3(3), 57-76</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Fence M. Wantu. Judges Constraints in Creating Legal Certainty, Justice, and Benefits in Civil Courts. Journal of the Legal Pulpit. 25 No. 2, (2013). 205-218.</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Fenty Puluhulawa, Lusiana M, Tujow, Sutrisno. Application of the Principles of Justice, Legal Certainty and Benefit in Judge's Decisions. Gorontalo Law Review Journal. 3 No. 2, (2020), 168-187.</w:t>
      </w:r>
    </w:p>
    <w:p w:rsidR="00BA10A9" w:rsidRPr="008A00A8" w:rsidRDefault="0012717F">
      <w:pPr>
        <w:pStyle w:val="TeksCatatanKaki"/>
        <w:spacing w:after="240"/>
        <w:ind w:left="567" w:hanging="567"/>
        <w:jc w:val="both"/>
      </w:pPr>
      <w:r w:rsidRPr="008A00A8">
        <w:rPr>
          <w:rFonts w:ascii="Book Antiqua" w:hAnsi="Book Antiqua" w:cs="Book Antiqua"/>
          <w:sz w:val="24"/>
          <w:szCs w:val="24"/>
          <w:lang w:val="id-ID" w:eastAsia="en-US"/>
        </w:rPr>
        <w:t>Fitriyadi, Ahmad Adi. Differentiation of Refugees and Asylum Seekers in International Refugee Law and Its Relation to the Principle of Non-Refoulement. Journal of Law Review. 2 No. 1 (2020), 120-138.</w:t>
      </w:r>
    </w:p>
    <w:p w:rsidR="00BA10A9" w:rsidRPr="008A00A8" w:rsidRDefault="0012717F">
      <w:pPr>
        <w:pStyle w:val="TeksCatatanKaki"/>
        <w:spacing w:after="240"/>
        <w:ind w:left="851" w:hanging="851"/>
        <w:jc w:val="both"/>
        <w:rPr>
          <w:rFonts w:ascii="Book Antiqua" w:hAnsi="Book Antiqua" w:cs="Book Antiqua"/>
          <w:sz w:val="24"/>
          <w:szCs w:val="24"/>
          <w:lang w:val="id-ID" w:eastAsia="en-US"/>
        </w:rPr>
      </w:pPr>
      <w:r w:rsidRPr="008A00A8">
        <w:rPr>
          <w:rFonts w:ascii="Book Antiqua" w:hAnsi="Book Antiqua" w:cs="Book Antiqua"/>
          <w:sz w:val="24"/>
          <w:szCs w:val="24"/>
          <w:lang w:val="id-ID" w:eastAsia="en-US"/>
        </w:rPr>
        <w:t>Hadiansyah, R., &amp; Rochaeti, N. (2022). Implementation of Rehabilitation for Children Abusing Narcotics. Indonesian Journal of Legal Development, 4 No. 1, 1-13.</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Hapsoro, Fakhris Lutfianto. Constitutional Interpretation in Constitutional Testing to Realize The Living Constitution. Journal of Law Review. 2 No. 2, (2020). 139-160</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Hwian Christianto, Michelle Kristina. Fulfilling the Right of Education during Covid-19 Pandemic Period: A Comparative Study. Journal of Law Review. 4 No. 1 (2022), 1-17</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Jufryanto Puluhulawa, Mellisa Towadi, and Vifi Swarianata. Journal of Legal Reform, 24 No. 2, (2020), 189-208.</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Moha, Mohamad Rivaldi. The Urgency of Registration of Electronic System Operators for E-Commerce Businesses. Journal of Law Review. 2 No. 2, (2020), 101-119.</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Novendri M. Nggilu. Juridical Review of Criminal Sanction Arrangements in Gorontalo Provincial Regulations. Lambung Mangkurat Law Journal. 5 No. 2, (2020), 109-121.</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Nurdin, Putri Handayani. Political Law Regulation of Political Education by Political Parties. Journal of Law Review. 1 No. 2, (2019), 144-166.</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Suwitno Y. Imran. The Urgency of Regulation of the Ultra Qui Judicat Principle in Criminal Judgments. Journal of Law Review. 3 No. 2 (2021), 395-410</w:t>
      </w:r>
    </w:p>
    <w:p w:rsidR="00BA10A9" w:rsidRPr="008A00A8" w:rsidRDefault="0012717F">
      <w:pPr>
        <w:spacing w:after="240" w:line="240" w:lineRule="auto"/>
        <w:ind w:left="567" w:hanging="567"/>
        <w:jc w:val="both"/>
      </w:pPr>
      <w:r w:rsidRPr="008A00A8">
        <w:rPr>
          <w:rFonts w:ascii="Book Antiqua" w:hAnsi="Book Antiqua" w:cs="Book Antiqua"/>
          <w:sz w:val="24"/>
          <w:szCs w:val="24"/>
          <w:lang w:val="id-ID" w:eastAsia="en-US"/>
        </w:rPr>
        <w:t>Tijow, Luciana. Protection of Human Rights to the Right to Life of Children in the womb outside of a legal marriage. Legality Journal. 3 No. 2 (2010), 79-90.</w:t>
      </w:r>
    </w:p>
    <w:p w:rsidR="00BA10A9" w:rsidRPr="008A00A8" w:rsidRDefault="00BA10A9">
      <w:pPr>
        <w:spacing w:after="240" w:line="240" w:lineRule="auto"/>
        <w:ind w:left="567" w:hanging="567"/>
        <w:jc w:val="both"/>
        <w:rPr>
          <w:rFonts w:ascii="Book Antiqua" w:hAnsi="Book Antiqua" w:cs="Book Antiqua"/>
          <w:sz w:val="24"/>
          <w:szCs w:val="24"/>
          <w:lang w:val="id-ID" w:eastAsia="en-US"/>
        </w:rPr>
      </w:pPr>
    </w:p>
    <w:sectPr w:rsidR="00BA10A9" w:rsidRPr="008A00A8">
      <w:footerReference w:type="even" r:id="rId13"/>
      <w:footerReference w:type="default" r:id="rId14"/>
      <w:footerReference w:type="first" r:id="rId15"/>
      <w:pgSz w:w="11906" w:h="16838"/>
      <w:pgMar w:top="1701" w:right="1701" w:bottom="1701" w:left="1701" w:header="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717F" w:rsidRDefault="0012717F">
      <w:pPr>
        <w:spacing w:after="0" w:line="240" w:lineRule="auto"/>
      </w:pPr>
      <w:r>
        <w:separator/>
      </w:r>
    </w:p>
  </w:endnote>
  <w:endnote w:type="continuationSeparator" w:id="0">
    <w:p w:rsidR="0012717F" w:rsidRDefault="0012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charset w:val="01"/>
    <w:family w:val="roman"/>
    <w:pitch w:val="variable"/>
  </w:font>
  <w:font w:name="Noto Serif CJK SC">
    <w:panose1 w:val="02020400000000000000"/>
    <w:charset w:val="80"/>
    <w:family w:val="roman"/>
    <w:pitch w:val="variable"/>
    <w:sig w:usb0="30000083" w:usb1="2BDF3C10" w:usb2="00000016" w:usb3="00000000" w:csb0="002E0107" w:csb1="00000000"/>
  </w:font>
  <w:font w:name="Lohit Devanagari">
    <w:altName w:val="Times New Roman"/>
    <w:charset w:val="00"/>
    <w:family w:val="roman"/>
    <w:notTrueType/>
    <w:pitch w:val="default"/>
  </w:font>
  <w:font w:name="Times New Roman Bold;Times New">
    <w:charset w:val="00"/>
    <w:family w:val="roman"/>
    <w:notTrueType/>
    <w:pitch w:val="default"/>
  </w:font>
  <w:font w:name="SimSun;宋体">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Arial Unicode">
    <w:charset w:val="00"/>
    <w:family w:val="roman"/>
    <w:notTrueType/>
    <w:pitch w:val="default"/>
  </w:font>
  <w:font w:name="Helvetica">
    <w:panose1 w:val="020B0504020202020204"/>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0A9" w:rsidRDefault="00BA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0A9" w:rsidRDefault="0012717F">
    <w:pPr>
      <w:pStyle w:val="Footer"/>
      <w:jc w:val="right"/>
    </w:pPr>
    <w:r>
      <w:t>Page |</w:t>
    </w:r>
    <w:r>
      <w:fldChar w:fldCharType="begin"/>
    </w:r>
    <w:r>
      <w:instrText>PAGE</w:instrText>
    </w:r>
    <w:r>
      <w:fldChar w:fldCharType="separate"/>
    </w:r>
    <w:r w:rsidR="008A00A8">
      <w:rPr>
        <w:noProof/>
      </w:rPr>
      <w:t>11</w:t>
    </w:r>
    <w:r>
      <w:fldChar w:fldCharType="end"/>
    </w:r>
    <w:r>
      <w:t xml:space="preserve"> </w:t>
    </w:r>
  </w:p>
  <w:p w:rsidR="00BA10A9" w:rsidRDefault="00BA10A9">
    <w:pPr>
      <w:pStyle w:val="Footer"/>
    </w:pPr>
  </w:p>
  <w:p w:rsidR="00BA10A9" w:rsidRDefault="00BA10A9"/>
  <w:p w:rsidR="00BA10A9" w:rsidRDefault="00BA10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0A9" w:rsidRDefault="0012717F">
    <w:pPr>
      <w:pStyle w:val="Footer"/>
      <w:jc w:val="right"/>
    </w:pPr>
    <w:r>
      <w:t>Page |</w:t>
    </w:r>
    <w:r>
      <w:fldChar w:fldCharType="begin"/>
    </w:r>
    <w:r>
      <w:instrText>PAGE</w:instrText>
    </w:r>
    <w:r>
      <w:fldChar w:fldCharType="separate"/>
    </w:r>
    <w:r w:rsidR="008A00A8">
      <w:rPr>
        <w:noProof/>
      </w:rPr>
      <w:t>1</w:t>
    </w:r>
    <w:r>
      <w:fldChar w:fldCharType="end"/>
    </w:r>
    <w:r>
      <w:t xml:space="preserve"> </w:t>
    </w:r>
  </w:p>
  <w:p w:rsidR="00BA10A9" w:rsidRDefault="00BA10A9"/>
  <w:p w:rsidR="00BA10A9" w:rsidRDefault="00BA10A9"/>
  <w:p w:rsidR="00BA10A9" w:rsidRDefault="00BA10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717F" w:rsidRDefault="0012717F">
      <w:pPr>
        <w:rPr>
          <w:sz w:val="12"/>
        </w:rPr>
      </w:pPr>
      <w:r>
        <w:separator/>
      </w:r>
    </w:p>
  </w:footnote>
  <w:footnote w:type="continuationSeparator" w:id="0">
    <w:p w:rsidR="0012717F" w:rsidRDefault="0012717F">
      <w:pPr>
        <w:rPr>
          <w:sz w:val="12"/>
        </w:rPr>
      </w:pPr>
      <w:r>
        <w:continuationSeparator/>
      </w:r>
    </w:p>
  </w:footnote>
  <w:footnote w:id="1">
    <w:p w:rsidR="00BA10A9" w:rsidRDefault="0012717F">
      <w:pPr>
        <w:pStyle w:val="TeksCatatanKaki"/>
        <w:jc w:val="both"/>
      </w:pPr>
      <w:r>
        <w:rPr>
          <w:rStyle w:val="FootnoteCharacters"/>
        </w:rPr>
        <w:footnoteRef/>
      </w:r>
      <w:r>
        <w:rPr>
          <w:rFonts w:ascii="Book Antiqua" w:hAnsi="Book Antiqua" w:cs="Book Antiqua"/>
          <w:lang w:val="id-ID" w:eastAsia="en-US"/>
        </w:rPr>
        <w:t>Dian Ekawaty Ismail, Mohamad Taufiq Zulfikar Sarson. (2021). Criminology Analysis of Women's as Perpetrators of Domestic Violence Crimes. Journal of Law Review. 3(3), 58</w:t>
      </w:r>
    </w:p>
  </w:footnote>
  <w:footnote w:id="2">
    <w:p w:rsidR="00BA10A9" w:rsidRDefault="0012717F">
      <w:pPr>
        <w:spacing w:after="0" w:line="240" w:lineRule="auto"/>
        <w:ind w:left="284" w:hanging="284"/>
        <w:jc w:val="both"/>
      </w:pPr>
      <w:r>
        <w:rPr>
          <w:rStyle w:val="FootnoteCharacters"/>
        </w:rPr>
        <w:footnoteRef/>
      </w:r>
      <w:r>
        <w:rPr>
          <w:rFonts w:ascii="Book Antiqua" w:hAnsi="Book Antiqua" w:cs="Book Antiqua"/>
          <w:sz w:val="20"/>
          <w:szCs w:val="20"/>
          <w:lang w:val="id-ID" w:eastAsia="en-US"/>
        </w:rPr>
        <w:tab/>
        <w:t xml:space="preserve"> Tijow, Luciana. (2010). Protection of Human Rights to the Right to Life of Children in the womb outside of a legal marriage. Legality Journal. 3(2), 88</w:t>
      </w:r>
    </w:p>
  </w:footnote>
  <w:footnote w:id="3">
    <w:p w:rsidR="00BA10A9" w:rsidRDefault="0012717F">
      <w:pPr>
        <w:spacing w:after="0" w:line="240" w:lineRule="auto"/>
        <w:jc w:val="both"/>
      </w:pPr>
      <w:r>
        <w:rPr>
          <w:rStyle w:val="FootnoteCharacters"/>
        </w:rPr>
        <w:footnoteRef/>
      </w:r>
      <w:r>
        <w:rPr>
          <w:rFonts w:ascii="Book Antiqua" w:hAnsi="Book Antiqua" w:cs="Book Antiqua"/>
          <w:sz w:val="20"/>
          <w:szCs w:val="20"/>
          <w:lang w:val="id-ID" w:eastAsia="en-US"/>
        </w:rPr>
        <w:t>Novendri M. Nggilu. (2020). Juridical Review of Criminal Sanction Arrangements in Gorontalo Provincial Regulations. Lambung Mangkurat Law Journal. 5(2), 112</w:t>
      </w:r>
    </w:p>
  </w:footnote>
  <w:footnote w:id="4">
    <w:p w:rsidR="00BA10A9" w:rsidRDefault="0012717F">
      <w:pPr>
        <w:pStyle w:val="TeksCatatanKaki"/>
        <w:jc w:val="both"/>
      </w:pPr>
      <w:r>
        <w:rPr>
          <w:rStyle w:val="FootnoteCharacters"/>
        </w:rPr>
        <w:footnoteRef/>
      </w:r>
      <w:r>
        <w:rPr>
          <w:rFonts w:ascii="Book Antiqua" w:hAnsi="Book Antiqua" w:cs="Book Antiqua"/>
        </w:rPr>
        <w:t>Koesno Adi, 2014, Diversion of Child Narcotics Crime, Setara Press, Semarang, Pg. 3</w:t>
      </w:r>
    </w:p>
  </w:footnote>
  <w:footnote w:id="5">
    <w:p w:rsidR="00BA10A9" w:rsidRDefault="0012717F">
      <w:pPr>
        <w:pStyle w:val="TeksCatatanKaki"/>
        <w:jc w:val="both"/>
      </w:pPr>
      <w:r>
        <w:rPr>
          <w:rStyle w:val="FootnoteCharacters"/>
        </w:rPr>
        <w:footnoteRef/>
      </w:r>
      <w:r>
        <w:rPr>
          <w:rFonts w:ascii="Book Antiqua" w:hAnsi="Book Antiqua" w:cs="Book Antiqua"/>
        </w:rPr>
        <w:t>Djoko Prakoso, Bambang Riadi Lany, Amir Muhsin, 1986, Crimes That Are Harmful and Dangerous to the State, PT Bina Aksara, Jakarta, Pg. 480</w:t>
      </w:r>
    </w:p>
  </w:footnote>
  <w:footnote w:id="6">
    <w:p w:rsidR="00BA10A9" w:rsidRDefault="0012717F">
      <w:pPr>
        <w:pStyle w:val="TeksCatatanKaki"/>
        <w:jc w:val="both"/>
        <w:rPr>
          <w:rFonts w:ascii="Book Antiqua" w:hAnsi="Book Antiqua" w:cs="Book Antiqua"/>
          <w:lang w:val="id-ID"/>
        </w:rPr>
      </w:pPr>
      <w:r>
        <w:rPr>
          <w:rStyle w:val="FootnoteCharacters"/>
        </w:rPr>
        <w:footnoteRef/>
      </w:r>
      <w:r>
        <w:rPr>
          <w:rFonts w:ascii="Book Antiqua" w:hAnsi="Book Antiqua" w:cs="Book Antiqua"/>
          <w:lang w:val="id-ID"/>
        </w:rPr>
        <w:t>Kumparan, 2019, Drug Cases in Gorontalo are dominated by students,</w:t>
      </w:r>
      <w:hyperlink r:id="rId1">
        <w:r>
          <w:rPr>
            <w:rStyle w:val="Hyperlink"/>
            <w:rFonts w:ascii="Book Antiqua" w:hAnsi="Book Antiqua" w:cs="Book Antiqua"/>
            <w:lang w:val="id-ID"/>
          </w:rPr>
          <w:t>https://kumparan.com/banthayoid/case-narkoba-di-gorontalo-didominat-pelajar-1sEWxXYAApu/1</w:t>
        </w:r>
      </w:hyperlink>
      <w:r>
        <w:rPr>
          <w:rFonts w:ascii="Book Antiqua" w:hAnsi="Book Antiqua" w:cs="Book Antiqua"/>
          <w:lang w:val="id-ID"/>
        </w:rPr>
        <w:t>. Accessed December 21, 2021, at 11:25 WITA</w:t>
      </w:r>
    </w:p>
  </w:footnote>
  <w:footnote w:id="7">
    <w:p w:rsidR="00BA10A9" w:rsidRDefault="0012717F">
      <w:pPr>
        <w:pStyle w:val="TeksCatatanKaki"/>
        <w:jc w:val="both"/>
      </w:pPr>
      <w:r>
        <w:rPr>
          <w:rStyle w:val="FootnoteCharacters"/>
        </w:rPr>
        <w:footnoteRef/>
      </w:r>
      <w:r>
        <w:rPr>
          <w:rFonts w:ascii="Book Antiqua" w:hAnsi="Book Antiqua" w:cs="Book Antiqua"/>
          <w:lang w:val="id-ID"/>
        </w:rPr>
        <w:t>Article 67 of Law Number 35 of 2014 concerning Child Protection</w:t>
      </w:r>
    </w:p>
  </w:footnote>
  <w:footnote w:id="8">
    <w:p w:rsidR="00BA10A9" w:rsidRDefault="0012717F">
      <w:pPr>
        <w:pStyle w:val="TeksCatatanKaki"/>
        <w:jc w:val="both"/>
      </w:pPr>
      <w:r>
        <w:rPr>
          <w:rStyle w:val="FootnoteCharacters"/>
        </w:rPr>
        <w:footnoteRef/>
      </w:r>
      <w:r>
        <w:rPr>
          <w:rFonts w:ascii="Book Antiqua" w:hAnsi="Book Antiqua" w:cs="Book Antiqua"/>
          <w:lang w:val="id-ID" w:eastAsia="en-US"/>
        </w:rPr>
        <w:t>Mohamad Rivaldi Moha. (2020). The Urgency of Registration of Electronic System Operators for E-Commerce Businesses. Journal of Law Review. 2(2), 115</w:t>
      </w:r>
    </w:p>
  </w:footnote>
  <w:footnote w:id="9">
    <w:p w:rsidR="00BA10A9" w:rsidRDefault="0012717F">
      <w:pPr>
        <w:pStyle w:val="TeksCatatanKaki"/>
        <w:jc w:val="both"/>
      </w:pPr>
      <w:r>
        <w:rPr>
          <w:rStyle w:val="FootnoteCharacters"/>
        </w:rPr>
        <w:footnoteRef/>
      </w:r>
      <w:r>
        <w:rPr>
          <w:rFonts w:ascii="Book Antiqua" w:hAnsi="Book Antiqua" w:cs="Book Antiqua"/>
          <w:lang w:val="id-ID" w:eastAsia="en-US"/>
        </w:rPr>
        <w:t>Mukti Fajar, Yulianto Achmad. Dualism in Legal Research (Normative and Empirical), (Yogyakarta: Pustaka Pelajar, 2010), 153.</w:t>
      </w:r>
    </w:p>
  </w:footnote>
  <w:footnote w:id="10">
    <w:p w:rsidR="00BA10A9" w:rsidRDefault="0012717F">
      <w:pPr>
        <w:pStyle w:val="TeksCatatanKaki"/>
        <w:jc w:val="both"/>
      </w:pPr>
      <w:r>
        <w:rPr>
          <w:rStyle w:val="FootnoteCharacters"/>
        </w:rPr>
        <w:footnoteRef/>
      </w:r>
      <w:r>
        <w:rPr>
          <w:rFonts w:ascii="Book Antiqua" w:hAnsi="Book Antiqua" w:cs="Book Antiqua"/>
          <w:lang w:val="id-ID"/>
        </w:rPr>
        <w:t>Article 67 Paragraph (1) Child Protection Act</w:t>
      </w:r>
    </w:p>
  </w:footnote>
  <w:footnote w:id="11">
    <w:p w:rsidR="00BA10A9" w:rsidRDefault="0012717F">
      <w:pPr>
        <w:pStyle w:val="TeksCatatanKaki"/>
        <w:jc w:val="both"/>
      </w:pPr>
      <w:r>
        <w:rPr>
          <w:rStyle w:val="FootnoteCharacters"/>
        </w:rPr>
        <w:footnoteRef/>
      </w:r>
      <w:r>
        <w:rPr>
          <w:rFonts w:ascii="Book Antiqua" w:hAnsi="Book Antiqua" w:cs="Book Antiqua"/>
          <w:lang w:val="id-ID" w:eastAsia="en-US"/>
        </w:rPr>
        <w:t>Hwian Christianto, Michelle Kristina. (2022). Fulfilling the Right of Education during Covid-19 Pandemic Period: A Comparative Study. Journal of Law Review. 4(1), 1</w:t>
      </w:r>
    </w:p>
  </w:footnote>
  <w:footnote w:id="12">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 xml:space="preserve"> Yudha Chandra Arowana. (2019). Mediation Path in the Settlement of Land Disputes as an Encouragement for the Fulfillment of Human Rights. Journal of Law Review. 1(2), 216</w:t>
      </w:r>
    </w:p>
  </w:footnote>
  <w:footnote w:id="13">
    <w:p w:rsidR="00BA10A9" w:rsidRDefault="0012717F">
      <w:pPr>
        <w:pStyle w:val="TeksCatatanKaki"/>
        <w:jc w:val="both"/>
      </w:pPr>
      <w:r>
        <w:rPr>
          <w:rStyle w:val="FootnoteCharacters"/>
        </w:rPr>
        <w:footnoteRef/>
      </w:r>
      <w:r>
        <w:rPr>
          <w:rFonts w:ascii="Book Antiqua" w:hAnsi="Book Antiqua" w:cs="Book Antiqua"/>
          <w:lang w:val="id-ID" w:eastAsia="en-US"/>
        </w:rPr>
        <w:t>Dedi Sumanto, Titin Samsudin, Fikri Asnawi Amiruddin. (2021). The Existence of the Religious Court in Handling Divorce Cases on the Reason of Domestic Violence. Journal of Law Review. 3(2), 228</w:t>
      </w:r>
    </w:p>
  </w:footnote>
  <w:footnote w:id="14">
    <w:p w:rsidR="00BA10A9" w:rsidRDefault="0012717F">
      <w:pPr>
        <w:pStyle w:val="TeksCatatanKaki"/>
        <w:jc w:val="both"/>
      </w:pPr>
      <w:r>
        <w:rPr>
          <w:rStyle w:val="FootnoteCharacters"/>
        </w:rPr>
        <w:footnoteRef/>
      </w:r>
      <w:r>
        <w:rPr>
          <w:rFonts w:ascii="Book Antiqua" w:hAnsi="Book Antiqua" w:cs="Book Antiqua"/>
          <w:lang w:val="id-ID" w:eastAsia="en-US"/>
        </w:rPr>
        <w:t>Nurdin, Putri Handayani. (2019). Political Law Regulation of Political Education by Political Parties. Journal of Law Review. 1(2), 146</w:t>
      </w:r>
    </w:p>
  </w:footnote>
  <w:footnote w:id="15">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Fitriyadi, Ahmad Adi. (2020). Differentiation of Refugees and Asylum Seekers in International Refugee Law and Its Relation to the Principle of Non-Refoulement.</w:t>
      </w:r>
      <w:r>
        <w:rPr>
          <w:rFonts w:ascii="Book Antiqua" w:hAnsi="Book Antiqua" w:cs="Book Antiqua"/>
          <w:i/>
          <w:lang w:val="id-ID" w:eastAsia="en-US"/>
        </w:rPr>
        <w:t>Journal of Law Review</w:t>
      </w:r>
      <w:r>
        <w:rPr>
          <w:rFonts w:ascii="Book Antiqua" w:hAnsi="Book Antiqua" w:cs="Book Antiqua"/>
          <w:lang w:val="id-ID" w:eastAsia="en-US"/>
        </w:rPr>
        <w:t>. 2(2), 127</w:t>
      </w:r>
    </w:p>
  </w:footnote>
  <w:footnote w:id="16">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Daffodil, Dolot Alhasni. (2020). Determination of Legal Protection for Neighboring Right Holders.</w:t>
      </w:r>
      <w:r>
        <w:rPr>
          <w:rFonts w:ascii="Book Antiqua" w:hAnsi="Book Antiqua" w:cs="Book Antiqua"/>
          <w:i/>
          <w:lang w:val="id-ID" w:eastAsia="en-US"/>
        </w:rPr>
        <w:t>Journal of Law Review.</w:t>
      </w:r>
      <w:r>
        <w:rPr>
          <w:rFonts w:ascii="Book Antiqua" w:hAnsi="Book Antiqua" w:cs="Book Antiqua"/>
          <w:lang w:val="id-ID" w:eastAsia="en-US"/>
        </w:rPr>
        <w:t>2(1), 67</w:t>
      </w:r>
    </w:p>
  </w:footnote>
  <w:footnote w:id="17">
    <w:p w:rsidR="00BA10A9" w:rsidRDefault="0012717F">
      <w:pPr>
        <w:pStyle w:val="TeksCatatanKaki"/>
        <w:jc w:val="both"/>
      </w:pPr>
      <w:r>
        <w:rPr>
          <w:rStyle w:val="FootnoteCharacters"/>
        </w:rPr>
        <w:footnoteRef/>
      </w:r>
      <w:r>
        <w:rPr>
          <w:rFonts w:ascii="Book Antiqua" w:hAnsi="Book Antiqua" w:cs="Book Antiqua"/>
          <w:lang w:val="id-ID" w:eastAsia="en-US"/>
        </w:rPr>
        <w:t>Badu, Lisnawaty. (2012). Euthanasia and Human Rights. Legality Journal. 5(1), 1-11</w:t>
      </w:r>
    </w:p>
  </w:footnote>
  <w:footnote w:id="18">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Fakhris Lutfianto Hapsoro. (2020). Interpretation of the Constitution in the Examination of Constitutionalities to Realize The Living Constitution.</w:t>
      </w:r>
      <w:r>
        <w:rPr>
          <w:rFonts w:ascii="Book Antiqua" w:hAnsi="Book Antiqua" w:cs="Book Antiqua"/>
          <w:i/>
          <w:lang w:val="id-ID" w:eastAsia="en-US"/>
        </w:rPr>
        <w:t>Journal of Law Review.</w:t>
      </w:r>
      <w:r>
        <w:rPr>
          <w:rFonts w:ascii="Book Antiqua" w:hAnsi="Book Antiqua" w:cs="Book Antiqua"/>
          <w:lang w:val="id-ID" w:eastAsia="en-US"/>
        </w:rPr>
        <w:t>2(2), 145</w:t>
      </w:r>
    </w:p>
  </w:footnote>
  <w:footnote w:id="19">
    <w:p w:rsidR="00BA10A9" w:rsidRDefault="0012717F">
      <w:pPr>
        <w:pStyle w:val="TeksCatatanKaki"/>
        <w:jc w:val="both"/>
      </w:pPr>
      <w:r>
        <w:rPr>
          <w:rStyle w:val="FootnoteCharacters"/>
        </w:rPr>
        <w:footnoteRef/>
      </w:r>
      <w:r>
        <w:rPr>
          <w:rFonts w:ascii="Book Antiqua" w:hAnsi="Book Antiqua" w:cs="Book Antiqua"/>
          <w:lang w:val="id-ID"/>
        </w:rPr>
        <w:t>Article 60 Paragraph (2) letter C of the Narcotics Law</w:t>
      </w:r>
    </w:p>
  </w:footnote>
  <w:footnote w:id="20">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 xml:space="preserve"> Fenty Puluhulawa, Lusiana M, Tujow, Sutrisno. (2020). Application of the Principles of Justice, Legal Certainty and Benefit in Judge's Decisions. Gorontalo Law Review Journal. 3, (2), 174</w:t>
      </w:r>
    </w:p>
  </w:footnote>
  <w:footnote w:id="21">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Fence M. Wantu. (2013). Judges Constraints in Creating Legal Certainty, Justice, and Benefits in Civil Courts.</w:t>
      </w:r>
      <w:r>
        <w:rPr>
          <w:rFonts w:ascii="Book Antiqua" w:hAnsi="Book Antiqua" w:cs="Book Antiqua"/>
          <w:i/>
          <w:lang w:val="id-ID" w:eastAsia="en-US"/>
        </w:rPr>
        <w:t>Legal Pulpit Journal</w:t>
      </w:r>
      <w:r>
        <w:rPr>
          <w:rFonts w:ascii="Book Antiqua" w:hAnsi="Book Antiqua" w:cs="Book Antiqua"/>
          <w:lang w:val="id-ID" w:eastAsia="en-US"/>
        </w:rPr>
        <w:t>. 25(2), 206</w:t>
      </w:r>
    </w:p>
  </w:footnote>
  <w:footnote w:id="22">
    <w:p w:rsidR="00BA10A9" w:rsidRDefault="0012717F">
      <w:pPr>
        <w:pStyle w:val="TeksCatatanKaki"/>
        <w:jc w:val="both"/>
      </w:pPr>
      <w:r>
        <w:rPr>
          <w:rStyle w:val="FootnoteCharacters"/>
        </w:rPr>
        <w:footnoteRef/>
      </w:r>
      <w:r>
        <w:rPr>
          <w:rFonts w:ascii="Book Antiqua" w:hAnsi="Book Antiqua" w:cs="Book Antiqua"/>
          <w:lang w:val="id-ID" w:eastAsia="en-US"/>
        </w:rPr>
        <w:t>Suwitno Y. Imran. (2021). The Urgency of Regulation of the Ultra Qui Judicat Principle in Criminal Judgments. Journal of Law Review. 3(2), 398</w:t>
      </w:r>
    </w:p>
  </w:footnote>
  <w:footnote w:id="23">
    <w:p w:rsidR="00BA10A9" w:rsidRDefault="0012717F">
      <w:pPr>
        <w:pStyle w:val="TeksCatatanKaki"/>
        <w:jc w:val="both"/>
        <w:rPr>
          <w:rFonts w:ascii="Book Antiqua" w:hAnsi="Book Antiqua" w:cs="Book Antiqua"/>
          <w:lang w:val="id-ID"/>
        </w:rPr>
      </w:pPr>
      <w:r>
        <w:rPr>
          <w:rStyle w:val="FootnoteCharacters"/>
        </w:rPr>
        <w:footnoteRef/>
      </w:r>
      <w:r>
        <w:rPr>
          <w:rFonts w:ascii="Book Antiqua" w:hAnsi="Book Antiqua" w:cs="Book Antiqua"/>
          <w:lang w:val="id-ID"/>
        </w:rPr>
        <w:t>Ibid, 17-18</w:t>
      </w:r>
    </w:p>
  </w:footnote>
  <w:footnote w:id="24">
    <w:p w:rsidR="00BA10A9" w:rsidRDefault="0012717F">
      <w:pPr>
        <w:pStyle w:val="TeksCatatanKaki"/>
        <w:ind w:left="142" w:hanging="142"/>
        <w:jc w:val="both"/>
      </w:pPr>
      <w:r>
        <w:rPr>
          <w:rStyle w:val="FootnoteCharacters"/>
        </w:rPr>
        <w:footnoteRef/>
      </w:r>
      <w:r>
        <w:rPr>
          <w:rFonts w:ascii="Book Antiqua" w:hAnsi="Book Antiqua" w:cs="Book Antiqua"/>
          <w:lang w:val="id-ID" w:eastAsia="en-US"/>
        </w:rPr>
        <w:tab/>
        <w:t>Ariefulloh, Abd Asis, Maskun. (2019). The Dilemma of the Implementation of Traffic Violation Sanctions Against Children.</w:t>
      </w:r>
      <w:r>
        <w:rPr>
          <w:rFonts w:ascii="Book Antiqua" w:hAnsi="Book Antiqua" w:cs="Book Antiqua"/>
          <w:i/>
          <w:lang w:val="id-ID" w:eastAsia="en-US"/>
        </w:rPr>
        <w:t>Journal of Law Review.</w:t>
      </w:r>
      <w:r>
        <w:rPr>
          <w:rFonts w:ascii="Book Antiqua" w:hAnsi="Book Antiqua" w:cs="Book Antiqua"/>
          <w:lang w:val="id-ID" w:eastAsia="en-US"/>
        </w:rPr>
        <w:t>1(2), 198</w:t>
      </w:r>
    </w:p>
  </w:footnote>
  <w:footnote w:id="25">
    <w:p w:rsidR="00BA10A9" w:rsidRDefault="0012717F">
      <w:pPr>
        <w:pStyle w:val="TeksCatatanKaki"/>
        <w:jc w:val="both"/>
      </w:pPr>
      <w:r>
        <w:rPr>
          <w:rStyle w:val="FootnoteCharacters"/>
        </w:rPr>
        <w:footnoteRef/>
      </w:r>
      <w:r>
        <w:rPr>
          <w:rFonts w:ascii="Book Antiqua" w:hAnsi="Book Antiqua" w:cs="Book Antiqua"/>
          <w:lang w:val="id-ID" w:eastAsia="en-US"/>
        </w:rPr>
        <w:t>Jufryanto Puluhulawa, Mellisa Towadi, and Vifi Swarianata. (2020). Leato / Japanese Cargo Wreck Underwater Site Legal Protection. Journal of Legal Reform, 24(2), 201</w:t>
      </w:r>
    </w:p>
  </w:footnote>
  <w:footnote w:id="26">
    <w:p w:rsidR="00BA10A9" w:rsidRDefault="0012717F">
      <w:pPr>
        <w:pStyle w:val="TeksCatatanKaki"/>
        <w:jc w:val="both"/>
      </w:pPr>
      <w:r>
        <w:rPr>
          <w:rStyle w:val="FootnoteCharacters"/>
        </w:rPr>
        <w:footnoteRef/>
      </w:r>
      <w:r>
        <w:rPr>
          <w:rFonts w:ascii="Book Antiqua" w:hAnsi="Book Antiqua" w:cs="Book Antiqua"/>
          <w:lang w:val="id-ID"/>
        </w:rPr>
        <w:t>Setyawati et al. Book Series Dangers of Drugs Procedures for Rehabilitating Drug Addicts. (Surakarta: PT. Tirta Asih Jaya, 2017), 3</w:t>
      </w:r>
    </w:p>
  </w:footnote>
  <w:footnote w:id="27">
    <w:p w:rsidR="00BA10A9" w:rsidRDefault="0012717F">
      <w:pPr>
        <w:pStyle w:val="TeksCatatanKaki"/>
        <w:jc w:val="both"/>
      </w:pPr>
      <w:r>
        <w:rPr>
          <w:rStyle w:val="FootnoteCharacters"/>
        </w:rPr>
        <w:footnoteRef/>
      </w:r>
      <w:r>
        <w:rPr>
          <w:rFonts w:ascii="Book Antiqua" w:hAnsi="Book Antiqua" w:cs="Book Antiqua"/>
          <w:lang w:val="id-ID"/>
        </w:rPr>
        <w:t>Ahmad Zulfikar Musakir. (2016). The Effectiveness of the Medical and Social Rehabilitation Program for Victims of Narcotics and Drug Abuse in a Legal Sociology Perspective. Thesis. Master of Law, Faculty of Law, Hasanudin University, 43-44.</w:t>
      </w:r>
    </w:p>
  </w:footnote>
  <w:footnote w:id="28">
    <w:p w:rsidR="00BA10A9" w:rsidRDefault="0012717F">
      <w:pPr>
        <w:pStyle w:val="TeksCatatanKaki"/>
        <w:jc w:val="both"/>
      </w:pPr>
      <w:r>
        <w:rPr>
          <w:rStyle w:val="FootnoteCharacters"/>
        </w:rPr>
        <w:footnoteRef/>
      </w:r>
      <w:r>
        <w:rPr>
          <w:rFonts w:ascii="Book Antiqua" w:hAnsi="Book Antiqua" w:cs="Book Antiqua"/>
          <w:lang w:val="id-ID"/>
        </w:rPr>
        <w:t>Article 55 and Article 103 Paragraph (1) of Law Number 35 Year 2009 concerning Narcotics</w:t>
      </w:r>
    </w:p>
  </w:footnote>
  <w:footnote w:id="29">
    <w:p w:rsidR="00BA10A9" w:rsidRDefault="0012717F">
      <w:pPr>
        <w:pStyle w:val="TeksCatatanKaki"/>
        <w:jc w:val="both"/>
      </w:pPr>
      <w:r>
        <w:rPr>
          <w:rStyle w:val="FootnoteCharacters"/>
        </w:rPr>
        <w:footnoteRef/>
      </w:r>
      <w:r>
        <w:rPr>
          <w:rFonts w:ascii="Book Antiqua" w:hAnsi="Book Antiqua" w:cs="Book Antiqua"/>
          <w:lang w:val="id-ID"/>
        </w:rPr>
        <w:t>Interview with Mr. Budi Kurniawan Kyai, SH</w:t>
      </w:r>
    </w:p>
  </w:footnote>
  <w:footnote w:id="30">
    <w:p w:rsidR="00BA10A9" w:rsidRDefault="0012717F">
      <w:pPr>
        <w:pStyle w:val="TeksCatatanKaki"/>
        <w:jc w:val="both"/>
      </w:pPr>
      <w:r>
        <w:rPr>
          <w:rStyle w:val="FootnoteCharacters"/>
        </w:rPr>
        <w:footnoteRef/>
      </w:r>
      <w:r>
        <w:rPr>
          <w:rFonts w:ascii="Book Antiqua" w:hAnsi="Book Antiqua" w:cs="Book Antiqua"/>
          <w:lang w:val="id-ID"/>
        </w:rPr>
        <w:t>Regulation of the Minister of Health Number 50 of 2015 concerning Technical Guidelines for Compulsory Reporting and Medical Rehabilitation for Addicts, Abusers, and Victims of Narcotics Abuse</w:t>
      </w:r>
    </w:p>
  </w:footnote>
  <w:footnote w:id="31">
    <w:p w:rsidR="00BA10A9" w:rsidRDefault="0012717F">
      <w:pPr>
        <w:pStyle w:val="TeksCatatanKaki"/>
        <w:jc w:val="both"/>
        <w:rPr>
          <w:rFonts w:ascii="Book Antiqua" w:hAnsi="Book Antiqua" w:cs="Book Antiqua"/>
          <w:lang w:val="id-ID"/>
        </w:rPr>
      </w:pPr>
      <w:r>
        <w:rPr>
          <w:rStyle w:val="FootnoteCharacters"/>
        </w:rPr>
        <w:footnoteRef/>
      </w:r>
      <w:r>
        <w:rPr>
          <w:rFonts w:ascii="Book Antiqua" w:hAnsi="Book Antiqua" w:cs="Book Antiqua"/>
          <w:lang w:val="id-ID"/>
        </w:rPr>
        <w:t>Risya Hadiansya, Nur Rochaeti. (2022). Implementation of Rehabilitation for Children Abusing Narcotics. Indonesian Journal of Legal Development, 4 (1), 9 – 10</w:t>
      </w:r>
    </w:p>
  </w:footnote>
  <w:footnote w:id="32">
    <w:p w:rsidR="00BA10A9" w:rsidRDefault="0012717F">
      <w:pPr>
        <w:pStyle w:val="TeksCatatanKaki"/>
        <w:jc w:val="both"/>
      </w:pPr>
      <w:r>
        <w:rPr>
          <w:rStyle w:val="FootnoteCharacters"/>
        </w:rPr>
        <w:footnoteRef/>
      </w:r>
      <w:r>
        <w:rPr>
          <w:rFonts w:ascii="Book Antiqua" w:hAnsi="Book Antiqua" w:cs="Book Antiqua"/>
          <w:lang w:val="id-ID"/>
        </w:rPr>
        <w:t>Interview with Mr. Budi Kurniawan Kyai, SH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F112B"/>
    <w:multiLevelType w:val="multilevel"/>
    <w:tmpl w:val="8B3628DE"/>
    <w:lvl w:ilvl="0">
      <w:start w:val="1"/>
      <w:numFmt w:val="lowerLetter"/>
      <w:lvlText w:val="%1."/>
      <w:lvlJc w:val="left"/>
      <w:pPr>
        <w:tabs>
          <w:tab w:val="num" w:pos="0"/>
        </w:tabs>
        <w:ind w:left="1080" w:hanging="360"/>
      </w:pPr>
      <w:rPr>
        <w:b w:val="0"/>
      </w:r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Book Antiqua" w:hAnsi="Book Antiqua" w:cs="Book Antiqua"/>
        <w:sz w:val="24"/>
        <w:szCs w:val="24"/>
        <w:lang w:val="id-ID" w:eastAsia="en-U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2663E6"/>
    <w:multiLevelType w:val="multilevel"/>
    <w:tmpl w:val="7FE0569C"/>
    <w:lvl w:ilvl="0">
      <w:start w:val="1"/>
      <w:numFmt w:val="decimal"/>
      <w:lvlText w:val="%1."/>
      <w:lvlJc w:val="left"/>
      <w:pPr>
        <w:tabs>
          <w:tab w:val="num" w:pos="0"/>
        </w:tabs>
        <w:ind w:left="1440" w:hanging="360"/>
      </w:pPr>
    </w:lvl>
    <w:lvl w:ilvl="1">
      <w:start w:val="1"/>
      <w:numFmt w:val="decimal"/>
      <w:lvlText w:val="%2)"/>
      <w:lvlJc w:val="left"/>
      <w:pPr>
        <w:tabs>
          <w:tab w:val="num" w:pos="0"/>
        </w:tabs>
        <w:ind w:left="2160" w:hanging="360"/>
      </w:pPr>
    </w:lvl>
    <w:lvl w:ilvl="2">
      <w:start w:val="1"/>
      <w:numFmt w:val="lowerLetter"/>
      <w:lvlText w:val="%3)"/>
      <w:lvlJc w:val="left"/>
      <w:pPr>
        <w:tabs>
          <w:tab w:val="num" w:pos="0"/>
        </w:tabs>
        <w:ind w:left="30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147C0180"/>
    <w:multiLevelType w:val="multilevel"/>
    <w:tmpl w:val="69C42030"/>
    <w:lvl w:ilvl="0">
      <w:start w:val="1"/>
      <w:numFmt w:val="lowerLetter"/>
      <w:lvlText w:val="%1)"/>
      <w:lvlJc w:val="left"/>
      <w:pPr>
        <w:tabs>
          <w:tab w:val="num" w:pos="0"/>
        </w:tabs>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E31CE"/>
    <w:multiLevelType w:val="multilevel"/>
    <w:tmpl w:val="F3A8F8FE"/>
    <w:lvl w:ilvl="0">
      <w:start w:val="1"/>
      <w:numFmt w:val="decimal"/>
      <w:lvlText w:val="%1."/>
      <w:lvlJc w:val="left"/>
      <w:pPr>
        <w:tabs>
          <w:tab w:val="num" w:pos="0"/>
        </w:tabs>
        <w:ind w:left="360" w:hanging="360"/>
      </w:pPr>
      <w:rPr>
        <w:rFonts w:eastAsia="Calibri" w:cs="Arial"/>
        <w:b/>
        <w:i w:val="0"/>
        <w:color w:val="000000"/>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D6B0A"/>
    <w:multiLevelType w:val="multilevel"/>
    <w:tmpl w:val="6AA83FD4"/>
    <w:lvl w:ilvl="0">
      <w:start w:val="1"/>
      <w:numFmt w:val="decimal"/>
      <w:lvlText w:val="%1)"/>
      <w:lvlJc w:val="left"/>
      <w:pPr>
        <w:tabs>
          <w:tab w:val="num" w:pos="0"/>
        </w:tabs>
        <w:ind w:left="177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DF710A"/>
    <w:multiLevelType w:val="multilevel"/>
    <w:tmpl w:val="C2D87250"/>
    <w:lvl w:ilvl="0">
      <w:start w:val="4"/>
      <w:numFmt w:val="decimal"/>
      <w:lvlText w:val="%1."/>
      <w:lvlJc w:val="left"/>
      <w:pPr>
        <w:tabs>
          <w:tab w:val="num" w:pos="0"/>
        </w:tabs>
        <w:ind w:left="361" w:hanging="361"/>
      </w:pPr>
      <w:rPr>
        <w:rFonts w:ascii="Times New Roman" w:eastAsia="Times New Roman" w:hAnsi="Times New Roman" w:cs="Times New Roman"/>
        <w:w w:val="1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CD7A63"/>
    <w:multiLevelType w:val="multilevel"/>
    <w:tmpl w:val="F1C6D64E"/>
    <w:lvl w:ilvl="0">
      <w:start w:val="1"/>
      <w:numFmt w:val="none"/>
      <w:pStyle w:val="Judul1"/>
      <w:suff w:val="nothing"/>
      <w:lvlText w:val=""/>
      <w:lvlJc w:val="left"/>
      <w:pPr>
        <w:tabs>
          <w:tab w:val="num" w:pos="0"/>
        </w:tabs>
        <w:ind w:left="0" w:firstLine="0"/>
      </w:pPr>
    </w:lvl>
    <w:lvl w:ilvl="1">
      <w:start w:val="1"/>
      <w:numFmt w:val="none"/>
      <w:pStyle w:val="Judul2"/>
      <w:suff w:val="nothing"/>
      <w:lvlText w:val=""/>
      <w:lvlJc w:val="left"/>
      <w:pPr>
        <w:tabs>
          <w:tab w:val="num" w:pos="0"/>
        </w:tabs>
        <w:ind w:left="0" w:firstLine="0"/>
      </w:pPr>
    </w:lvl>
    <w:lvl w:ilvl="2">
      <w:start w:val="1"/>
      <w:numFmt w:val="none"/>
      <w:pStyle w:val="Judul3"/>
      <w:suff w:val="nothing"/>
      <w:lvlText w:val=""/>
      <w:lvlJc w:val="left"/>
      <w:pPr>
        <w:tabs>
          <w:tab w:val="num" w:pos="0"/>
        </w:tabs>
        <w:ind w:left="0" w:firstLine="0"/>
      </w:pPr>
    </w:lvl>
    <w:lvl w:ilvl="3">
      <w:start w:val="1"/>
      <w:numFmt w:val="none"/>
      <w:pStyle w:val="Judu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599958">
    <w:abstractNumId w:val="6"/>
  </w:num>
  <w:num w:numId="2" w16cid:durableId="1853495745">
    <w:abstractNumId w:val="1"/>
  </w:num>
  <w:num w:numId="3" w16cid:durableId="716123896">
    <w:abstractNumId w:val="0"/>
  </w:num>
  <w:num w:numId="4" w16cid:durableId="1279213903">
    <w:abstractNumId w:val="4"/>
  </w:num>
  <w:num w:numId="5" w16cid:durableId="1096515137">
    <w:abstractNumId w:val="2"/>
  </w:num>
  <w:num w:numId="6" w16cid:durableId="1554345364">
    <w:abstractNumId w:val="3"/>
  </w:num>
  <w:num w:numId="7" w16cid:durableId="1845852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A9"/>
    <w:rsid w:val="0012717F"/>
    <w:rsid w:val="008A00A8"/>
    <w:rsid w:val="00AC3CD5"/>
    <w:rsid w:val="00BA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4083A-9378-4F76-89EB-BE60133E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8"/>
      <w:lang w:bidi="bn-IN"/>
    </w:rPr>
  </w:style>
  <w:style w:type="paragraph" w:styleId="Judul1">
    <w:name w:val="heading 1"/>
    <w:next w:val="Normal"/>
    <w:qFormat/>
    <w:pPr>
      <w:keepNext/>
      <w:keepLines/>
      <w:numPr>
        <w:numId w:val="1"/>
      </w:numPr>
      <w:spacing w:before="240" w:after="120" w:line="360" w:lineRule="auto"/>
      <w:outlineLvl w:val="0"/>
    </w:pPr>
    <w:rPr>
      <w:rFonts w:ascii="Times New Roman Bold;Times New" w:eastAsia="Times New Roman Bold;Times New" w:hAnsi="Times New Roman Bold;Times New" w:cs="Times New Roman Bold;Times New"/>
      <w:color w:val="000000"/>
      <w:sz w:val="28"/>
      <w:szCs w:val="20"/>
      <w:lang w:bidi="ar-SA"/>
    </w:rPr>
  </w:style>
  <w:style w:type="paragraph" w:styleId="Judul2">
    <w:name w:val="heading 2"/>
    <w:next w:val="Normal"/>
    <w:qFormat/>
    <w:pPr>
      <w:keepNext/>
      <w:keepLines/>
      <w:numPr>
        <w:ilvl w:val="1"/>
        <w:numId w:val="1"/>
      </w:numPr>
      <w:spacing w:before="40" w:after="120" w:line="360" w:lineRule="auto"/>
      <w:outlineLvl w:val="1"/>
    </w:pPr>
    <w:rPr>
      <w:rFonts w:ascii="Times New Roman Bold;Times New" w:eastAsia="Times New Roman Bold;Times New" w:hAnsi="Times New Roman Bold;Times New" w:cs="Times New Roman Bold;Times New"/>
      <w:color w:val="000000"/>
      <w:lang w:bidi="ar-SA"/>
    </w:rPr>
  </w:style>
  <w:style w:type="paragraph" w:styleId="Judul3">
    <w:name w:val="heading 3"/>
    <w:next w:val="Normal"/>
    <w:qFormat/>
    <w:pPr>
      <w:keepNext/>
      <w:keepLines/>
      <w:numPr>
        <w:ilvl w:val="2"/>
        <w:numId w:val="1"/>
      </w:numPr>
      <w:spacing w:before="40" w:after="120" w:line="360" w:lineRule="auto"/>
      <w:outlineLvl w:val="2"/>
    </w:pPr>
    <w:rPr>
      <w:rFonts w:ascii="Times New Roman" w:eastAsia="Times New Roman" w:hAnsi="Times New Roman" w:cs="Times New Roman"/>
      <w:color w:val="000000"/>
      <w:lang w:bidi="ar-SA"/>
    </w:rPr>
  </w:style>
  <w:style w:type="paragraph" w:styleId="Judul4">
    <w:name w:val="heading 4"/>
    <w:basedOn w:val="Normal"/>
    <w:next w:val="Normal"/>
    <w:qFormat/>
    <w:pPr>
      <w:keepNext/>
      <w:keepLines/>
      <w:numPr>
        <w:ilvl w:val="3"/>
        <w:numId w:val="1"/>
      </w:numPr>
      <w:spacing w:before="200" w:after="0" w:line="360" w:lineRule="auto"/>
      <w:outlineLvl w:val="3"/>
    </w:pPr>
    <w:rPr>
      <w:rFonts w:ascii="Times New Roman" w:eastAsia="Times New Roman" w:hAnsi="Times New Roman"/>
      <w:bCs/>
      <w:iCs/>
      <w:sz w:val="24"/>
      <w:szCs w:val="24"/>
      <w:lang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rPr>
  </w:style>
  <w:style w:type="character" w:customStyle="1" w:styleId="WW8Num2z1">
    <w:name w:val="WW8Num2z1"/>
    <w:qFormat/>
    <w:rPr>
      <w:rFonts w:ascii="Times New Roman" w:eastAsia="Calibri" w:hAnsi="Times New Roman" w:cs="Times New Roman"/>
    </w:rPr>
  </w:style>
  <w:style w:type="character" w:customStyle="1" w:styleId="WW8Num2z2">
    <w:name w:val="WW8Num2z2"/>
    <w:qFormat/>
  </w:style>
  <w:style w:type="character" w:customStyle="1" w:styleId="WW8Num2z3">
    <w:name w:val="WW8Num2z3"/>
    <w:qFormat/>
    <w:rPr>
      <w:rFonts w:ascii="Book Antiqua" w:hAnsi="Book Antiqua" w:cs="Book Antiqua"/>
      <w:sz w:val="24"/>
      <w:szCs w:val="24"/>
      <w:lang w:val="id-ID" w:eastAsia="en-US"/>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position w:val="0"/>
      <w:sz w:val="24"/>
      <w:vertAlign w:val="baseline"/>
      <w:lang w:val="en-US"/>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Calibri" w:cs="Arial"/>
      <w:b/>
      <w:i w:val="0"/>
      <w:color w:val="000000"/>
      <w:sz w:val="28"/>
      <w:szCs w:val="28"/>
      <w:lang w:val="en-U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w w:val="100"/>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FootnoteTextChar">
    <w:name w:val="Footnote Text Char"/>
    <w:qFormat/>
    <w:rPr>
      <w:rFonts w:ascii="Times New Roman" w:eastAsia="SimSun;宋体" w:hAnsi="Times New Roman" w:cs="Times New Roman"/>
      <w:sz w:val="20"/>
      <w:szCs w:val="20"/>
      <w:lang w:eastAsia="zh-CN" w:bidi="ar-SA"/>
    </w:rPr>
  </w:style>
  <w:style w:type="character" w:customStyle="1" w:styleId="FootnoteCharacters">
    <w:name w:val="Footnote Characters"/>
    <w:qFormat/>
    <w:rPr>
      <w:vertAlign w:val="superscript"/>
    </w:rPr>
  </w:style>
  <w:style w:type="character" w:customStyle="1" w:styleId="BalloonTextChar">
    <w:name w:val="Balloon Text Char"/>
    <w:qFormat/>
    <w:rPr>
      <w:rFonts w:ascii="Tahoma" w:hAnsi="Tahoma" w:cs="Tahoma"/>
      <w:sz w:val="16"/>
      <w:szCs w:val="20"/>
    </w:rPr>
  </w:style>
  <w:style w:type="character" w:customStyle="1" w:styleId="HeaderChar">
    <w:name w:val="Header Char"/>
    <w:basedOn w:val="FontParagrafDefault"/>
    <w:qFormat/>
  </w:style>
  <w:style w:type="character" w:customStyle="1" w:styleId="FooterChar">
    <w:name w:val="Footer Char"/>
    <w:basedOn w:val="FontParagrafDefault"/>
    <w:qFormat/>
  </w:style>
  <w:style w:type="character" w:customStyle="1" w:styleId="EndnoteTextChar">
    <w:name w:val="Endnote Text Char"/>
    <w:qFormat/>
    <w:rPr>
      <w:sz w:val="20"/>
      <w:szCs w:val="25"/>
    </w:rPr>
  </w:style>
  <w:style w:type="character" w:customStyle="1" w:styleId="EndnoteCharacters">
    <w:name w:val="Endnote Characters"/>
    <w:qFormat/>
    <w:rPr>
      <w:vertAlign w:val="superscript"/>
    </w:rPr>
  </w:style>
  <w:style w:type="character" w:styleId="Hyperlink">
    <w:name w:val="Hyperlink"/>
    <w:rPr>
      <w:color w:val="0000FF"/>
      <w:u w:val="single"/>
    </w:rPr>
  </w:style>
  <w:style w:type="character" w:customStyle="1" w:styleId="Style1Char">
    <w:name w:val="Style1 Char"/>
    <w:qFormat/>
    <w:rPr>
      <w:rFonts w:ascii="Calibri" w:eastAsia="Calibri" w:hAnsi="Calibri" w:cs="Vrinda"/>
      <w:szCs w:val="22"/>
      <w:lang w:bidi="ar-SA"/>
    </w:rPr>
  </w:style>
  <w:style w:type="character" w:customStyle="1" w:styleId="BodyText2Char">
    <w:name w:val="Body Text 2 Char"/>
    <w:qFormat/>
    <w:rPr>
      <w:rFonts w:ascii="Times New Roman" w:eastAsia="Times New Roman" w:hAnsi="Times New Roman" w:cs="Times New Roman"/>
      <w:sz w:val="26"/>
      <w:szCs w:val="20"/>
      <w:lang w:bidi="ar-SA"/>
    </w:rPr>
  </w:style>
  <w:style w:type="character" w:styleId="ReferensiKomentar">
    <w:name w:val="annotation reference"/>
    <w:qFormat/>
    <w:rPr>
      <w:sz w:val="16"/>
      <w:szCs w:val="16"/>
    </w:rPr>
  </w:style>
  <w:style w:type="character" w:customStyle="1" w:styleId="CommentTextChar">
    <w:name w:val="Comment Text Char"/>
    <w:qFormat/>
    <w:rPr>
      <w:sz w:val="20"/>
      <w:szCs w:val="25"/>
    </w:rPr>
  </w:style>
  <w:style w:type="character" w:customStyle="1" w:styleId="CommentSubjectChar">
    <w:name w:val="Comment Subject Char"/>
    <w:qFormat/>
    <w:rPr>
      <w:b/>
      <w:bCs/>
      <w:sz w:val="20"/>
      <w:szCs w:val="25"/>
    </w:rPr>
  </w:style>
  <w:style w:type="character" w:customStyle="1" w:styleId="apple-converted-space">
    <w:name w:val="apple-converted-space"/>
    <w:basedOn w:val="FontParagrafDefault"/>
    <w:qFormat/>
  </w:style>
  <w:style w:type="character" w:customStyle="1" w:styleId="Menyebutkan1">
    <w:name w:val="Menyebutkan1"/>
    <w:qFormat/>
    <w:rPr>
      <w:color w:val="2B579A"/>
      <w:shd w:val="clear" w:color="auto" w:fill="E6E6E6"/>
    </w:rPr>
  </w:style>
  <w:style w:type="character" w:customStyle="1" w:styleId="SebutanYangBelumTerselesaikan1">
    <w:name w:val="Sebutan Yang Belum Terselesaikan1"/>
    <w:qFormat/>
    <w:rPr>
      <w:color w:val="808080"/>
      <w:shd w:val="clear" w:color="auto" w:fill="E6E6E6"/>
    </w:rPr>
  </w:style>
  <w:style w:type="character" w:customStyle="1" w:styleId="Heading1Char">
    <w:name w:val="Heading 1 Char"/>
    <w:qFormat/>
    <w:rPr>
      <w:rFonts w:ascii="Times New Roman Bold;Times New" w:eastAsia="Times New Roman Bold;Times New" w:hAnsi="Times New Roman Bold;Times New" w:cs="Times New Roman Bold;Times New"/>
      <w:color w:val="000000"/>
      <w:sz w:val="28"/>
      <w:lang w:bidi="ar-SA"/>
    </w:rPr>
  </w:style>
  <w:style w:type="character" w:customStyle="1" w:styleId="Heading2Char">
    <w:name w:val="Heading 2 Char"/>
    <w:qFormat/>
    <w:rPr>
      <w:rFonts w:ascii="Times New Roman Bold;Times New" w:eastAsia="Times New Roman Bold;Times New" w:hAnsi="Times New Roman Bold;Times New" w:cs="Times New Roman Bold;Times New"/>
      <w:color w:val="000000"/>
      <w:sz w:val="24"/>
      <w:szCs w:val="24"/>
      <w:lang w:bidi="ar-SA"/>
    </w:rPr>
  </w:style>
  <w:style w:type="character" w:customStyle="1" w:styleId="Heading3Char">
    <w:name w:val="Heading 3 Char"/>
    <w:qFormat/>
    <w:rPr>
      <w:rFonts w:ascii="Times New Roman" w:eastAsia="Times New Roman" w:hAnsi="Times New Roman" w:cs="Times New Roman"/>
      <w:color w:val="000000"/>
      <w:sz w:val="24"/>
      <w:szCs w:val="24"/>
      <w:lang w:bidi="ar-SA"/>
    </w:rPr>
  </w:style>
  <w:style w:type="character" w:customStyle="1" w:styleId="Heading4Char">
    <w:name w:val="Heading 4 Char"/>
    <w:qFormat/>
    <w:rPr>
      <w:rFonts w:ascii="Times New Roman" w:eastAsia="Times New Roman" w:hAnsi="Times New Roman" w:cs="Times New Roman"/>
      <w:bCs/>
      <w:iCs/>
      <w:sz w:val="24"/>
      <w:szCs w:val="24"/>
      <w:lang w:bidi="ar-SA"/>
    </w:rPr>
  </w:style>
  <w:style w:type="character" w:customStyle="1" w:styleId="Linkki">
    <w:name w:val="Linkki"/>
    <w:qFormat/>
    <w:rPr>
      <w:color w:val="0563C1"/>
      <w:u w:val="single" w:color="0563C1"/>
    </w:rPr>
  </w:style>
  <w:style w:type="character" w:customStyle="1" w:styleId="Hyperlink0">
    <w:name w:val="Hyperlink.0"/>
    <w:qFormat/>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character" w:customStyle="1" w:styleId="TitleChar">
    <w:name w:val="Title Char"/>
    <w:qFormat/>
    <w:rPr>
      <w:rFonts w:ascii="Cambria" w:eastAsia="Times New Roman" w:hAnsi="Cambria" w:cs="Times New Roman"/>
      <w:color w:val="17365D"/>
      <w:spacing w:val="5"/>
      <w:kern w:val="2"/>
      <w:sz w:val="52"/>
      <w:szCs w:val="52"/>
      <w:lang w:bidi="ar-SA"/>
    </w:rPr>
  </w:style>
  <w:style w:type="character" w:styleId="HiperlinkyangDiikuti">
    <w:name w:val="FollowedHyperlink"/>
    <w:rPr>
      <w:color w:val="800080"/>
      <w:u w:val="single"/>
    </w:rPr>
  </w:style>
  <w:style w:type="character" w:customStyle="1" w:styleId="allowtextselection">
    <w:name w:val="allowtextselection"/>
    <w:basedOn w:val="FontParagrafDefault"/>
    <w:qFormat/>
  </w:style>
  <w:style w:type="character" w:styleId="Tempatpenampungteks">
    <w:name w:val="Placeholder Text"/>
    <w:qFormat/>
    <w:rPr>
      <w:color w:val="808080"/>
    </w:rPr>
  </w:style>
  <w:style w:type="character" w:styleId="Penekanan">
    <w:name w:val="Emphasis"/>
    <w:qFormat/>
    <w:rPr>
      <w:i/>
      <w:iCs/>
    </w:rPr>
  </w:style>
  <w:style w:type="character" w:customStyle="1" w:styleId="hps">
    <w:name w:val="hps"/>
    <w:qFormat/>
  </w:style>
  <w:style w:type="character" w:customStyle="1" w:styleId="IntenseQuoteChar">
    <w:name w:val="Intense Quote Char"/>
    <w:qFormat/>
    <w:rPr>
      <w:i/>
      <w:iCs/>
      <w:color w:val="4472C4"/>
      <w:sz w:val="22"/>
      <w:szCs w:val="28"/>
      <w:lang w:val="en-US" w:bidi="bn-IN"/>
    </w:rPr>
  </w:style>
  <w:style w:type="character" w:customStyle="1" w:styleId="fontstyle01">
    <w:name w:val="fontstyle01"/>
    <w:qFormat/>
    <w:rPr>
      <w:rFonts w:ascii="TimesNewRomanPSMT;Arial Unicode" w:hAnsi="TimesNewRomanPSMT;Arial Unicode" w:cs="TimesNewRomanPSMT;Arial Unicode"/>
      <w:b w:val="0"/>
      <w:bCs w:val="0"/>
      <w:i w:val="0"/>
      <w:iCs w:val="0"/>
      <w:color w:val="000000"/>
      <w:sz w:val="22"/>
      <w:szCs w:val="22"/>
    </w:rPr>
  </w:style>
  <w:style w:type="character" w:customStyle="1" w:styleId="ListParagraphChar">
    <w:name w:val="List Paragraph Char"/>
    <w:qFormat/>
    <w:rPr>
      <w:sz w:val="22"/>
      <w:szCs w:val="28"/>
      <w:lang w:val="en-US" w:bidi="bn-IN"/>
    </w:rPr>
  </w:style>
  <w:style w:type="character" w:customStyle="1" w:styleId="BodyTextChar">
    <w:name w:val="Body Text Char"/>
    <w:qFormat/>
    <w:rPr>
      <w:sz w:val="22"/>
      <w:szCs w:val="28"/>
      <w:lang w:val="en-US" w:bidi="bn-I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Normal"/>
    <w:qFormat/>
    <w:pPr>
      <w:pBdr>
        <w:bottom w:val="single" w:sz="8" w:space="4" w:color="4F81BD"/>
      </w:pBdr>
      <w:spacing w:after="300" w:line="240" w:lineRule="auto"/>
      <w:contextualSpacing/>
    </w:pPr>
    <w:rPr>
      <w:rFonts w:ascii="Cambria" w:eastAsia="Times New Roman" w:hAnsi="Cambria" w:cs="Cambria"/>
      <w:color w:val="17365D"/>
      <w:spacing w:val="5"/>
      <w:kern w:val="2"/>
      <w:sz w:val="52"/>
      <w:szCs w:val="52"/>
      <w:lang w:bidi="ar-SA"/>
    </w:rPr>
  </w:style>
  <w:style w:type="paragraph" w:styleId="TeksIsi">
    <w:name w:val="Body Text"/>
    <w:basedOn w:val="Normal"/>
    <w:pPr>
      <w:spacing w:after="120"/>
    </w:pPr>
  </w:style>
  <w:style w:type="paragraph" w:styleId="Daftar">
    <w:name w:val="List"/>
    <w:basedOn w:val="TeksIsi"/>
    <w:rPr>
      <w:rFonts w:cs="Lohit Devanagari"/>
    </w:rPr>
  </w:style>
  <w:style w:type="paragraph" w:styleId="Keteranga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eksCatatanKaki">
    <w:name w:val="footnote text"/>
    <w:basedOn w:val="Normal"/>
    <w:pPr>
      <w:spacing w:after="0" w:line="240" w:lineRule="auto"/>
    </w:pPr>
    <w:rPr>
      <w:rFonts w:ascii="Times New Roman" w:eastAsia="SimSun;宋体" w:hAnsi="Times New Roman"/>
      <w:sz w:val="20"/>
      <w:szCs w:val="20"/>
      <w:lang w:bidi="ar-SA"/>
    </w:rPr>
  </w:style>
  <w:style w:type="paragraph" w:styleId="DaftarParagraf">
    <w:name w:val="List Paragraph"/>
    <w:basedOn w:val="Normal"/>
    <w:qFormat/>
    <w:pPr>
      <w:ind w:left="720"/>
      <w:contextualSpacing/>
    </w:pPr>
  </w:style>
  <w:style w:type="paragraph" w:styleId="TeksBalon">
    <w:name w:val="Balloon Text"/>
    <w:basedOn w:val="Normal"/>
    <w:qFormat/>
    <w:pPr>
      <w:spacing w:after="0" w:line="240" w:lineRule="auto"/>
    </w:pPr>
    <w:rPr>
      <w:rFonts w:ascii="Tahoma" w:hAnsi="Tahoma" w:cs="Tahoma"/>
      <w:sz w:val="16"/>
      <w:szCs w:val="20"/>
      <w:lang w:bidi="ar-SA"/>
    </w:rPr>
  </w:style>
  <w:style w:type="paragraph" w:styleId="Bibliografi">
    <w:name w:val="Bibliography"/>
    <w:basedOn w:val="Normal"/>
    <w:next w:val="Normal"/>
    <w:qFormat/>
  </w:style>
  <w:style w:type="paragraph" w:styleId="TidakAdaSpasi">
    <w:name w:val="No Spacing"/>
    <w:qFormat/>
    <w:pPr>
      <w:jc w:val="both"/>
    </w:pPr>
    <w:rPr>
      <w:rFonts w:ascii="Calibri" w:eastAsia="Calibri" w:hAnsi="Calibri" w:cs="Times New Roman"/>
      <w:sz w:val="22"/>
      <w:szCs w:val="22"/>
      <w:lang w:bidi="ar-SA"/>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TeksCatatanAkhir">
    <w:name w:val="endnote text"/>
    <w:basedOn w:val="Normal"/>
    <w:pPr>
      <w:spacing w:after="0" w:line="240" w:lineRule="auto"/>
    </w:pPr>
    <w:rPr>
      <w:sz w:val="20"/>
      <w:szCs w:val="25"/>
      <w:lang w:bidi="ar-SA"/>
    </w:rPr>
  </w:style>
  <w:style w:type="paragraph" w:customStyle="1" w:styleId="Default">
    <w:name w:val="Default"/>
    <w:qFormat/>
    <w:pPr>
      <w:autoSpaceDE w:val="0"/>
    </w:pPr>
    <w:rPr>
      <w:rFonts w:ascii="Times New Roman" w:eastAsia="Calibri" w:hAnsi="Times New Roman" w:cs="Times New Roman"/>
      <w:color w:val="000000"/>
      <w:lang w:bidi="bn-IN"/>
    </w:rPr>
  </w:style>
  <w:style w:type="paragraph" w:customStyle="1" w:styleId="Style1">
    <w:name w:val="Style1"/>
    <w:basedOn w:val="TidakAdaSpasi"/>
    <w:qFormat/>
    <w:pPr>
      <w:jc w:val="left"/>
    </w:pPr>
    <w:rPr>
      <w:rFonts w:cs="Vrinda"/>
      <w:sz w:val="20"/>
    </w:rPr>
  </w:style>
  <w:style w:type="paragraph" w:styleId="TeksIsi2">
    <w:name w:val="Body Text 2"/>
    <w:basedOn w:val="Normal"/>
    <w:qFormat/>
    <w:pPr>
      <w:spacing w:after="0" w:line="360" w:lineRule="auto"/>
    </w:pPr>
    <w:rPr>
      <w:rFonts w:ascii="Times New Roman" w:eastAsia="Times New Roman" w:hAnsi="Times New Roman"/>
      <w:sz w:val="26"/>
      <w:szCs w:val="20"/>
      <w:lang w:bidi="ar-SA"/>
    </w:rPr>
  </w:style>
  <w:style w:type="paragraph" w:styleId="TeksKomentar">
    <w:name w:val="annotation text"/>
    <w:basedOn w:val="Normal"/>
    <w:qFormat/>
    <w:pPr>
      <w:spacing w:line="240" w:lineRule="auto"/>
    </w:pPr>
    <w:rPr>
      <w:sz w:val="20"/>
      <w:szCs w:val="25"/>
      <w:lang w:bidi="ar-SA"/>
    </w:rPr>
  </w:style>
  <w:style w:type="paragraph" w:styleId="SubjekKomentar">
    <w:name w:val="annotation subject"/>
    <w:basedOn w:val="TeksKomentar"/>
    <w:next w:val="TeksKomentar"/>
    <w:qFormat/>
    <w:rPr>
      <w:b/>
      <w:bCs/>
    </w:rPr>
  </w:style>
  <w:style w:type="paragraph" w:customStyle="1" w:styleId="Yl-jaalaotsake">
    <w:name w:val="Ylä- ja alaotsake"/>
    <w:qFormat/>
    <w:pPr>
      <w:tabs>
        <w:tab w:val="right" w:pos="9020"/>
      </w:tabs>
    </w:pPr>
    <w:rPr>
      <w:rFonts w:ascii="Helvetica" w:eastAsia="Arial Unicode MS" w:hAnsi="Helvetica" w:cs="Arial Unicode MS"/>
      <w:color w:val="000000"/>
      <w:lang w:val="fi-FI" w:bidi="ar-SA"/>
    </w:rPr>
  </w:style>
  <w:style w:type="paragraph" w:styleId="JudulTOC">
    <w:name w:val="TOC Heading"/>
    <w:next w:val="Normal"/>
    <w:qFormat/>
    <w:pPr>
      <w:keepNext/>
      <w:keepLines/>
      <w:spacing w:before="240" w:after="120" w:line="256" w:lineRule="auto"/>
    </w:pPr>
    <w:rPr>
      <w:rFonts w:ascii="Calibri Light" w:eastAsia="Calibri Light" w:hAnsi="Calibri Light" w:cs="Calibri Light"/>
      <w:color w:val="2E74B5"/>
      <w:sz w:val="32"/>
      <w:szCs w:val="32"/>
      <w:lang w:bidi="ar-SA"/>
    </w:rPr>
  </w:style>
  <w:style w:type="paragraph" w:customStyle="1" w:styleId="TOC11">
    <w:name w:val="TOC 1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bidi="ar-SA"/>
    </w:rPr>
  </w:style>
  <w:style w:type="paragraph" w:customStyle="1" w:styleId="TOC21">
    <w:name w:val="TOC 21"/>
    <w:qFormat/>
    <w:pPr>
      <w:tabs>
        <w:tab w:val="right" w:pos="9044"/>
      </w:tabs>
      <w:spacing w:after="100" w:line="360" w:lineRule="auto"/>
    </w:pPr>
    <w:rPr>
      <w:rFonts w:ascii="Times New Roman Bold;Times New" w:eastAsia="Times New Roman Bold;Times New" w:hAnsi="Times New Roman Bold;Times New" w:cs="Times New Roman Bold;Times New"/>
      <w:color w:val="000000"/>
      <w:sz w:val="28"/>
      <w:szCs w:val="28"/>
      <w:lang w:val="fi-FI" w:bidi="ar-SA"/>
    </w:rPr>
  </w:style>
  <w:style w:type="paragraph" w:customStyle="1" w:styleId="TOC31">
    <w:name w:val="TOC 31"/>
    <w:qFormat/>
    <w:pPr>
      <w:tabs>
        <w:tab w:val="right" w:pos="9044"/>
      </w:tabs>
      <w:spacing w:after="100" w:line="360" w:lineRule="auto"/>
      <w:ind w:left="480"/>
    </w:pPr>
    <w:rPr>
      <w:rFonts w:ascii="Times New Roman" w:eastAsia="Times New Roman" w:hAnsi="Times New Roman" w:cs="Times New Roman"/>
      <w:color w:val="000000"/>
      <w:lang w:bidi="ar-SA"/>
    </w:rPr>
  </w:style>
  <w:style w:type="paragraph" w:styleId="TOC1">
    <w:name w:val="toc 1"/>
    <w:basedOn w:val="Normal"/>
    <w:next w:val="Normal"/>
    <w:pPr>
      <w:spacing w:before="120" w:after="0" w:line="360" w:lineRule="auto"/>
    </w:pPr>
    <w:rPr>
      <w:rFonts w:eastAsia="Arial Unicode MS" w:cs="Arial Unicode MS"/>
      <w:b/>
      <w:caps/>
      <w:color w:val="000000"/>
      <w:szCs w:val="22"/>
      <w:lang w:bidi="ar-SA"/>
    </w:rPr>
  </w:style>
  <w:style w:type="paragraph" w:styleId="TOC2">
    <w:name w:val="toc 2"/>
    <w:basedOn w:val="Normal"/>
    <w:next w:val="Normal"/>
    <w:pPr>
      <w:spacing w:after="0" w:line="360" w:lineRule="auto"/>
      <w:ind w:left="240"/>
    </w:pPr>
    <w:rPr>
      <w:rFonts w:eastAsia="Arial Unicode MS" w:cs="Arial Unicode MS"/>
      <w:smallCaps/>
      <w:color w:val="000000"/>
      <w:szCs w:val="22"/>
      <w:lang w:eastAsia="en-US" w:bidi="ar-SA"/>
    </w:rPr>
  </w:style>
  <w:style w:type="paragraph" w:styleId="TOC3">
    <w:name w:val="toc 3"/>
    <w:basedOn w:val="Normal"/>
    <w:next w:val="Normal"/>
    <w:pPr>
      <w:spacing w:after="0" w:line="360" w:lineRule="auto"/>
      <w:ind w:left="480"/>
    </w:pPr>
    <w:rPr>
      <w:rFonts w:eastAsia="Arial Unicode MS" w:cs="Arial Unicode MS"/>
      <w:i/>
      <w:color w:val="000000"/>
      <w:szCs w:val="22"/>
      <w:lang w:bidi="ar-SA"/>
    </w:rPr>
  </w:style>
  <w:style w:type="paragraph" w:styleId="TOC4">
    <w:name w:val="toc 4"/>
    <w:basedOn w:val="Normal"/>
    <w:next w:val="Normal"/>
    <w:pPr>
      <w:spacing w:after="0" w:line="360" w:lineRule="auto"/>
      <w:ind w:left="720"/>
    </w:pPr>
    <w:rPr>
      <w:rFonts w:eastAsia="Arial Unicode MS" w:cs="Arial Unicode MS"/>
      <w:color w:val="000000"/>
      <w:sz w:val="18"/>
      <w:szCs w:val="18"/>
      <w:lang w:bidi="ar-SA"/>
    </w:rPr>
  </w:style>
  <w:style w:type="paragraph" w:styleId="TOC5">
    <w:name w:val="toc 5"/>
    <w:basedOn w:val="Normal"/>
    <w:next w:val="Normal"/>
    <w:pPr>
      <w:spacing w:after="0" w:line="360" w:lineRule="auto"/>
      <w:ind w:left="960"/>
    </w:pPr>
    <w:rPr>
      <w:rFonts w:eastAsia="Arial Unicode MS" w:cs="Arial Unicode MS"/>
      <w:color w:val="000000"/>
      <w:sz w:val="18"/>
      <w:szCs w:val="18"/>
      <w:lang w:bidi="ar-SA"/>
    </w:rPr>
  </w:style>
  <w:style w:type="paragraph" w:styleId="TOC6">
    <w:name w:val="toc 6"/>
    <w:basedOn w:val="Normal"/>
    <w:next w:val="Normal"/>
    <w:pPr>
      <w:spacing w:after="0" w:line="360" w:lineRule="auto"/>
      <w:ind w:left="1200"/>
    </w:pPr>
    <w:rPr>
      <w:rFonts w:eastAsia="Arial Unicode MS" w:cs="Arial Unicode MS"/>
      <w:color w:val="000000"/>
      <w:sz w:val="18"/>
      <w:szCs w:val="18"/>
      <w:lang w:bidi="ar-SA"/>
    </w:rPr>
  </w:style>
  <w:style w:type="paragraph" w:styleId="TOC7">
    <w:name w:val="toc 7"/>
    <w:basedOn w:val="Normal"/>
    <w:next w:val="Normal"/>
    <w:pPr>
      <w:spacing w:after="0" w:line="360" w:lineRule="auto"/>
      <w:ind w:left="1440"/>
    </w:pPr>
    <w:rPr>
      <w:rFonts w:eastAsia="Arial Unicode MS" w:cs="Arial Unicode MS"/>
      <w:color w:val="000000"/>
      <w:sz w:val="18"/>
      <w:szCs w:val="18"/>
      <w:lang w:bidi="ar-SA"/>
    </w:rPr>
  </w:style>
  <w:style w:type="paragraph" w:styleId="TOC8">
    <w:name w:val="toc 8"/>
    <w:basedOn w:val="Normal"/>
    <w:next w:val="Normal"/>
    <w:pPr>
      <w:spacing w:after="0" w:line="360" w:lineRule="auto"/>
      <w:ind w:left="1680"/>
    </w:pPr>
    <w:rPr>
      <w:rFonts w:eastAsia="Arial Unicode MS" w:cs="Arial Unicode MS"/>
      <w:color w:val="000000"/>
      <w:sz w:val="18"/>
      <w:szCs w:val="18"/>
      <w:lang w:bidi="ar-SA"/>
    </w:rPr>
  </w:style>
  <w:style w:type="paragraph" w:styleId="TOC9">
    <w:name w:val="toc 9"/>
    <w:basedOn w:val="Normal"/>
    <w:next w:val="Normal"/>
    <w:pPr>
      <w:spacing w:after="0" w:line="360" w:lineRule="auto"/>
      <w:ind w:left="1920"/>
    </w:pPr>
    <w:rPr>
      <w:rFonts w:eastAsia="Arial Unicode MS" w:cs="Arial Unicode MS"/>
      <w:color w:val="000000"/>
      <w:sz w:val="18"/>
      <w:szCs w:val="18"/>
      <w:lang w:bidi="ar-SA"/>
    </w:rPr>
  </w:style>
  <w:style w:type="paragraph" w:customStyle="1" w:styleId="Alaviite">
    <w:name w:val="Alaviite"/>
    <w:qFormat/>
    <w:rPr>
      <w:rFonts w:ascii="Helvetica" w:eastAsia="Helvetica" w:hAnsi="Helvetica" w:cs="Helvetica"/>
      <w:color w:val="000000"/>
      <w:sz w:val="22"/>
      <w:szCs w:val="22"/>
      <w:lang w:val="fi-FI" w:bidi="ar-SA"/>
    </w:rPr>
  </w:style>
  <w:style w:type="paragraph" w:customStyle="1" w:styleId="Tyyli1">
    <w:name w:val="Tyyli1"/>
    <w:basedOn w:val="Judul2"/>
    <w:qFormat/>
    <w:pPr>
      <w:numPr>
        <w:ilvl w:val="0"/>
        <w:numId w:val="0"/>
      </w:numPr>
    </w:pPr>
    <w:rPr>
      <w:b/>
    </w:rPr>
  </w:style>
  <w:style w:type="paragraph" w:customStyle="1" w:styleId="Heading21">
    <w:name w:val="Heading 21"/>
    <w:basedOn w:val="Judul2"/>
    <w:qFormat/>
    <w:pPr>
      <w:numPr>
        <w:ilvl w:val="0"/>
        <w:numId w:val="0"/>
      </w:numPr>
    </w:pPr>
    <w:rPr>
      <w:b/>
    </w:rPr>
  </w:style>
  <w:style w:type="paragraph" w:customStyle="1" w:styleId="LeiptekstiA">
    <w:name w:val="Leipäteksti A"/>
    <w:qFormat/>
    <w:rPr>
      <w:rFonts w:ascii="Times New Roman" w:eastAsia="Arial Unicode MS" w:hAnsi="Times New Roman" w:cs="Arial Unicode MS"/>
      <w:color w:val="000000"/>
      <w:lang w:bidi="ar-SA"/>
    </w:rPr>
  </w:style>
  <w:style w:type="paragraph" w:styleId="Revisi">
    <w:name w:val="Revision"/>
    <w:qFormat/>
    <w:rPr>
      <w:rFonts w:ascii="Times New Roman" w:eastAsia="Arial Unicode MS" w:hAnsi="Times New Roman" w:cs="Arial Unicode MS"/>
      <w:color w:val="000000"/>
      <w:lang w:bidi="ar-SA"/>
    </w:rPr>
  </w:style>
  <w:style w:type="paragraph" w:styleId="KutipanyangSering">
    <w:name w:val="Intense Quote"/>
    <w:basedOn w:val="Normal"/>
    <w:next w:val="Normal"/>
    <w:qFormat/>
    <w:pPr>
      <w:pBdr>
        <w:top w:val="single" w:sz="4" w:space="10" w:color="4472C4"/>
        <w:bottom w:val="single" w:sz="4" w:space="10" w:color="4472C4"/>
      </w:pBdr>
      <w:spacing w:before="360" w:after="360"/>
      <w:ind w:left="864" w:right="864"/>
      <w:jc w:val="center"/>
    </w:pPr>
    <w:rPr>
      <w:i/>
      <w:iCs/>
      <w:color w:val="4472C4"/>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pPr>
      <w:spacing w:before="120" w:after="120"/>
      <w:jc w:val="both"/>
    </w:pPr>
    <w:rPr>
      <w:rFonts w:ascii="Times New Roman" w:hAnsi="Times New Roman"/>
      <w:i/>
      <w:sz w:val="24"/>
      <w:szCs w:val="24"/>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mailto:suwitno.imran@yahoo.co.id"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lisnawatybadu0@gmail.com" TargetMode="Externa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yperlink" Target="mailto:ainunkasim2001@gmail.com" TargetMode="External" /><Relationship Id="rId4" Type="http://schemas.openxmlformats.org/officeDocument/2006/relationships/webSettings" Target="webSettings.xml" /><Relationship Id="rId9" Type="http://schemas.openxmlformats.org/officeDocument/2006/relationships/hyperlink" Target="https://ejurnal.ung.ac.id/index.php/eslaw/index" TargetMode="External" /><Relationship Id="rId14" Type="http://schemas.openxmlformats.org/officeDocument/2006/relationships/footer" Target="footer2.xml" /></Relationships>
</file>

<file path=word/_rels/footnotes.xml.rels><?xml version="1.0" encoding="UTF-8" standalone="yes"?>
<Relationships xmlns="http://schemas.openxmlformats.org/package/2006/relationships"><Relationship Id="rId1" Type="http://schemas.openxmlformats.org/officeDocument/2006/relationships/hyperlink" Target="https://kumparan.com/banthayoid/kasus-narkoba-di-gorontalo-didominasi-pelajar-1sEWxXYAApu/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4867</Words>
  <Characters>27748</Characters>
  <Application>Microsoft Office Word</Application>
  <DocSecurity>0</DocSecurity>
  <Lines>231</Lines>
  <Paragraphs>65</Paragraphs>
  <ScaleCrop>false</ScaleCrop>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Ainun Kasim</cp:lastModifiedBy>
  <cp:revision>2</cp:revision>
  <dcterms:created xsi:type="dcterms:W3CDTF">2022-08-08T03:38:00Z</dcterms:created>
  <dcterms:modified xsi:type="dcterms:W3CDTF">2022-08-08T03:38:00Z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2022-06-23T06:28:00Z</dcterms:created>
  <dc:creator>Asus</dc:creator>
  <dc:description/>
  <cp:keywords> </cp:keywords>
  <dc:language>en-US</dc:language>
  <cp:lastModifiedBy>Notebook</cp:lastModifiedBy>
  <cp:lastPrinted>2021-04-16T04:24:00Z</cp:lastPrinted>
  <dcterms:modified xsi:type="dcterms:W3CDTF">2022-07-17T23:42:00Z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