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B098E" w14:textId="77777777" w:rsidR="004F0EAE" w:rsidRPr="00AD14D5" w:rsidRDefault="004F0EAE" w:rsidP="004F0EAE">
      <w:pPr>
        <w:spacing w:line="240" w:lineRule="auto"/>
        <w:rPr>
          <w:rFonts w:ascii="Book Antiqua" w:hAnsi="Book Antiqua"/>
          <w:sz w:val="20"/>
          <w:szCs w:val="24"/>
        </w:rPr>
      </w:pPr>
      <w:bookmarkStart w:id="0" w:name="_Toc292564709"/>
      <w:bookmarkStart w:id="1" w:name="_Toc1"/>
    </w:p>
    <w:p w14:paraId="5ABA92EE" w14:textId="77777777" w:rsidR="004F0EAE" w:rsidRPr="00AD14D5" w:rsidRDefault="004F0EAE" w:rsidP="004F0EAE">
      <w:pPr>
        <w:spacing w:line="240" w:lineRule="auto"/>
        <w:rPr>
          <w:rFonts w:ascii="Book Antiqua" w:hAnsi="Book Antiqua"/>
          <w:sz w:val="20"/>
          <w:szCs w:val="24"/>
        </w:rPr>
      </w:pPr>
    </w:p>
    <w:p w14:paraId="42A3A886" w14:textId="77777777" w:rsidR="004F0EAE" w:rsidRPr="00AD14D5" w:rsidRDefault="004F0EAE" w:rsidP="004F0EAE">
      <w:pPr>
        <w:spacing w:line="240" w:lineRule="auto"/>
        <w:rPr>
          <w:rFonts w:ascii="Book Antiqua" w:hAnsi="Book Antiqua"/>
          <w:sz w:val="20"/>
          <w:szCs w:val="24"/>
        </w:rPr>
      </w:pPr>
    </w:p>
    <w:p w14:paraId="1B850462" w14:textId="77777777" w:rsidR="004F0EAE" w:rsidRPr="00AD14D5" w:rsidRDefault="004F0EAE" w:rsidP="004F0EAE">
      <w:pPr>
        <w:spacing w:line="240" w:lineRule="auto"/>
        <w:rPr>
          <w:rFonts w:ascii="Book Antiqua" w:hAnsi="Book Antiqua"/>
          <w:sz w:val="20"/>
          <w:szCs w:val="24"/>
        </w:rPr>
      </w:pPr>
    </w:p>
    <w:p w14:paraId="5905E610" w14:textId="77777777" w:rsidR="004F0EAE" w:rsidRPr="00AD14D5" w:rsidRDefault="00000000" w:rsidP="004F0EAE">
      <w:pPr>
        <w:spacing w:line="240" w:lineRule="auto"/>
        <w:ind w:left="0"/>
        <w:rPr>
          <w:rFonts w:ascii="Book Antiqua" w:hAnsi="Book Antiqua"/>
          <w:sz w:val="20"/>
          <w:szCs w:val="20"/>
        </w:rPr>
      </w:pPr>
      <w:r>
        <w:rPr>
          <w:rFonts w:ascii="Book Antiqua" w:hAnsi="Book Antiqua"/>
          <w:noProof/>
        </w:rPr>
        <w:pict w14:anchorId="77D93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style="position:absolute;left:0;text-align:left;margin-left:334.95pt;margin-top:8.35pt;width:92pt;height:37.2pt;z-index:-251658240;visibility:visible">
            <v:imagedata r:id="rId8" o:title=""/>
          </v:shape>
        </w:pict>
      </w:r>
      <w:r>
        <w:rPr>
          <w:rFonts w:ascii="Book Antiqua" w:hAnsi="Book Antiqua"/>
          <w:noProof/>
        </w:rPr>
        <w:pict w14:anchorId="6268EB01">
          <v:shape id="Picture 3" o:spid="_x0000_s1027" type="#_x0000_t75" style="position:absolute;left:0;text-align:left;margin-left:-1.7pt;margin-top:-57.05pt;width:428.65pt;height:50pt;z-index:-251659264;visibility:visible">
            <v:imagedata r:id="rId9" o:title=""/>
          </v:shape>
        </w:pict>
      </w:r>
      <w:r w:rsidR="004F0EAE" w:rsidRPr="00AD14D5">
        <w:rPr>
          <w:rFonts w:ascii="Book Antiqua" w:hAnsi="Book Antiqua"/>
          <w:sz w:val="20"/>
          <w:szCs w:val="20"/>
        </w:rPr>
        <w:t>Volume 1 Number 1, February-May 2019: Pp. 1-5</w:t>
      </w:r>
    </w:p>
    <w:p w14:paraId="5257D212" w14:textId="77777777" w:rsidR="004F0EAE" w:rsidRPr="00AD14D5" w:rsidRDefault="004F0EAE" w:rsidP="004F0EAE">
      <w:pPr>
        <w:spacing w:line="240" w:lineRule="auto"/>
        <w:ind w:left="0"/>
        <w:rPr>
          <w:rFonts w:ascii="Book Antiqua" w:hAnsi="Book Antiqua"/>
          <w:sz w:val="20"/>
          <w:szCs w:val="20"/>
          <w:lang w:eastAsia="fi-FI"/>
        </w:rPr>
      </w:pPr>
      <w:r w:rsidRPr="00AD14D5">
        <w:rPr>
          <w:rFonts w:ascii="Book Antiqua" w:hAnsi="Book Antiqua"/>
          <w:sz w:val="20"/>
          <w:szCs w:val="20"/>
          <w:lang w:eastAsia="fi-FI"/>
        </w:rPr>
        <w:t>Faculty of Law, State University of Gorontalo, City of Gorontalo, Indonesia</w:t>
      </w:r>
    </w:p>
    <w:p w14:paraId="0E22E9B7" w14:textId="77777777" w:rsidR="004F0EAE" w:rsidRPr="00AD14D5" w:rsidRDefault="004F0EAE" w:rsidP="004F0EAE">
      <w:pPr>
        <w:spacing w:line="240" w:lineRule="auto"/>
        <w:ind w:left="0"/>
        <w:rPr>
          <w:rFonts w:ascii="Book Antiqua" w:hAnsi="Book Antiqua"/>
          <w:iCs/>
          <w:sz w:val="20"/>
          <w:szCs w:val="20"/>
          <w:lang w:eastAsia="fi-FI"/>
        </w:rPr>
      </w:pPr>
      <w:r w:rsidRPr="00AD14D5">
        <w:rPr>
          <w:rFonts w:ascii="Book Antiqua" w:eastAsia="Times New Roman" w:hAnsi="Book Antiqua"/>
          <w:iCs/>
          <w:color w:val="000000"/>
          <w:sz w:val="20"/>
          <w:szCs w:val="20"/>
        </w:rPr>
        <w:t>DOI:-</w:t>
      </w:r>
    </w:p>
    <w:p w14:paraId="6C6CB78B" w14:textId="77777777" w:rsidR="004F0EAE" w:rsidRPr="00AD14D5" w:rsidRDefault="00000000" w:rsidP="004F0EAE">
      <w:pPr>
        <w:pBdr>
          <w:bottom w:val="thinThickThinMediumGap" w:sz="18" w:space="1" w:color="auto"/>
        </w:pBdr>
        <w:spacing w:line="240" w:lineRule="auto"/>
        <w:ind w:left="0"/>
        <w:rPr>
          <w:rFonts w:ascii="Book Antiqua" w:hAnsi="Book Antiqua"/>
          <w:sz w:val="20"/>
          <w:szCs w:val="24"/>
          <w:lang w:eastAsia="fi-FI"/>
        </w:rPr>
      </w:pPr>
      <w:hyperlink r:id="rId10" w:history="1">
        <w:r w:rsidR="004F0EAE" w:rsidRPr="00AD14D5">
          <w:rPr>
            <w:rStyle w:val="Hyperlink"/>
            <w:rFonts w:ascii="Book Antiqua" w:hAnsi="Book Antiqua"/>
            <w:sz w:val="20"/>
            <w:szCs w:val="20"/>
            <w:lang w:eastAsia="fi-FI"/>
          </w:rPr>
          <w:t>https://ejurnal.ung.ac.id/index.php/eslaw/index</w:t>
        </w:r>
      </w:hyperlink>
    </w:p>
    <w:p w14:paraId="21CA33D4" w14:textId="77777777" w:rsidR="004F0EAE" w:rsidRPr="00AD14D5" w:rsidRDefault="004F0EAE" w:rsidP="004F0EAE">
      <w:pPr>
        <w:pBdr>
          <w:bottom w:val="thinThickThinMediumGap" w:sz="18" w:space="1" w:color="auto"/>
        </w:pBdr>
        <w:spacing w:line="240" w:lineRule="auto"/>
        <w:ind w:left="0"/>
        <w:rPr>
          <w:rStyle w:val="Heading1Char"/>
          <w:rFonts w:ascii="Book Antiqua" w:hAnsi="Book Antiqua"/>
          <w:sz w:val="20"/>
          <w:szCs w:val="24"/>
        </w:rPr>
      </w:pPr>
    </w:p>
    <w:p w14:paraId="653307E2" w14:textId="77777777" w:rsidR="004F0EAE" w:rsidRPr="00AD14D5" w:rsidRDefault="004F0EAE" w:rsidP="004F0EAE">
      <w:pPr>
        <w:pStyle w:val="Heading3"/>
        <w:spacing w:before="0" w:after="0" w:line="276" w:lineRule="auto"/>
        <w:jc w:val="center"/>
        <w:rPr>
          <w:rStyle w:val="Heading1Char"/>
          <w:rFonts w:ascii="Book Antiqua" w:hAnsi="Book Antiqua" w:cs="Cambria"/>
          <w:b/>
          <w:sz w:val="20"/>
          <w:szCs w:val="14"/>
          <w:lang w:val="id-ID"/>
        </w:rPr>
      </w:pPr>
    </w:p>
    <w:p w14:paraId="71C247F5" w14:textId="3DD30732" w:rsidR="00D85C74" w:rsidRPr="00AD14D5" w:rsidRDefault="00FE42E3" w:rsidP="007C4529">
      <w:pPr>
        <w:pStyle w:val="Heading3"/>
        <w:spacing w:before="0" w:after="0" w:line="276" w:lineRule="auto"/>
        <w:jc w:val="center"/>
        <w:rPr>
          <w:rFonts w:ascii="Book Antiqua" w:eastAsia="Times New Roman Bold" w:hAnsi="Book Antiqua" w:cs="Cambria"/>
          <w:b/>
          <w:sz w:val="36"/>
          <w:szCs w:val="28"/>
          <w:lang w:val="id-ID"/>
        </w:rPr>
      </w:pPr>
      <w:r w:rsidRPr="00AD14D5">
        <w:rPr>
          <w:rStyle w:val="Heading1Char"/>
          <w:rFonts w:ascii="Book Antiqua" w:hAnsi="Book Antiqua" w:cs="Cambria"/>
          <w:b/>
          <w:sz w:val="36"/>
          <w:lang w:val="id-ID"/>
        </w:rPr>
        <w:t xml:space="preserve">ANALYSIS OF JUDGE'S DECISION AGAINST SUBSTITUTE </w:t>
      </w:r>
      <w:r w:rsidR="00766E78">
        <w:rPr>
          <w:rStyle w:val="Heading1Char"/>
          <w:rFonts w:ascii="Book Antiqua" w:hAnsi="Book Antiqua" w:cs="Cambria"/>
          <w:b/>
          <w:sz w:val="36"/>
          <w:lang w:val="id-ID"/>
        </w:rPr>
        <w:t>CHARITIES</w:t>
      </w:r>
      <w:r w:rsidRPr="00AD14D5">
        <w:rPr>
          <w:rStyle w:val="Heading1Char"/>
          <w:rFonts w:ascii="Book Antiqua" w:hAnsi="Book Antiqua" w:cs="Cambria"/>
          <w:b/>
          <w:sz w:val="36"/>
          <w:lang w:val="id-ID"/>
        </w:rPr>
        <w:t xml:space="preserve"> IN RELIGIOUS COURTS </w:t>
      </w:r>
      <w:r w:rsidR="00154C4D" w:rsidRPr="00154C4D">
        <w:rPr>
          <w:rStyle w:val="Heading1Char"/>
          <w:rFonts w:ascii="Book Antiqua" w:hAnsi="Book Antiqua" w:cs="Cambria"/>
          <w:b/>
          <w:sz w:val="36"/>
          <w:lang w:val="id-ID"/>
        </w:rPr>
        <w:t>CONSIDER</w:t>
      </w:r>
      <w:r w:rsidRPr="00AD14D5">
        <w:rPr>
          <w:rStyle w:val="Heading1Char"/>
          <w:rFonts w:ascii="Book Antiqua" w:hAnsi="Book Antiqua" w:cs="Cambria"/>
          <w:b/>
          <w:sz w:val="36"/>
          <w:lang w:val="id-ID"/>
        </w:rPr>
        <w:t xml:space="preserve"> FROM </w:t>
      </w:r>
      <w:r w:rsidR="009C765A" w:rsidRPr="009C765A">
        <w:rPr>
          <w:rStyle w:val="Heading1Char"/>
          <w:rFonts w:ascii="Book Antiqua" w:hAnsi="Book Antiqua" w:cs="Cambria"/>
          <w:b/>
          <w:sz w:val="36"/>
          <w:lang w:val="id-ID"/>
        </w:rPr>
        <w:t>ISLAMIC LAW COMMISSION</w:t>
      </w:r>
      <w:r w:rsidR="00007603">
        <w:rPr>
          <w:rStyle w:val="Heading1Char"/>
          <w:rFonts w:ascii="Book Antiqua" w:hAnsi="Book Antiqua" w:cs="Cambria"/>
          <w:b/>
          <w:sz w:val="36"/>
          <w:lang w:val="id-ID"/>
        </w:rPr>
        <w:t xml:space="preserve"> (ILC)</w:t>
      </w:r>
    </w:p>
    <w:p w14:paraId="454F808F" w14:textId="77777777" w:rsidR="004F0EAE" w:rsidRPr="00AD14D5" w:rsidRDefault="00D85C74" w:rsidP="007243A0">
      <w:pPr>
        <w:pStyle w:val="Author"/>
        <w:spacing w:before="0" w:after="0"/>
        <w:jc w:val="center"/>
        <w:rPr>
          <w:rFonts w:ascii="Book Antiqua" w:hAnsi="Book Antiqua"/>
          <w:b/>
          <w:lang w:val="id-ID"/>
        </w:rPr>
      </w:pPr>
      <w:r w:rsidRPr="00AD14D5">
        <w:rPr>
          <w:rFonts w:ascii="Book Antiqua" w:hAnsi="Book Antiqua"/>
          <w:b/>
          <w:lang w:val="id-ID"/>
        </w:rPr>
        <w:t xml:space="preserve">Rikson Adam </w:t>
      </w:r>
      <w:r w:rsidR="004F0EAE" w:rsidRPr="00AD14D5">
        <w:rPr>
          <w:rFonts w:ascii="Book Antiqua" w:hAnsi="Book Antiqua"/>
          <w:b/>
          <w:vertAlign w:val="superscript"/>
          <w:lang w:val="id-ID"/>
        </w:rPr>
        <w:t xml:space="preserve">1 </w:t>
      </w:r>
      <w:r w:rsidR="004F0EAE" w:rsidRPr="00AD14D5">
        <w:rPr>
          <w:rFonts w:ascii="Book Antiqua" w:hAnsi="Book Antiqua"/>
          <w:b/>
          <w:lang w:val="id-ID"/>
        </w:rPr>
        <w:t xml:space="preserve">, Nur Mohamad Kasim </w:t>
      </w:r>
      <w:r w:rsidR="004F0EAE" w:rsidRPr="00AD14D5">
        <w:rPr>
          <w:rFonts w:ascii="Book Antiqua" w:hAnsi="Book Antiqua"/>
          <w:b/>
          <w:vertAlign w:val="superscript"/>
          <w:lang w:val="id-ID"/>
        </w:rPr>
        <w:t xml:space="preserve">2 </w:t>
      </w:r>
      <w:r w:rsidR="004F0EAE" w:rsidRPr="00AD14D5">
        <w:rPr>
          <w:rFonts w:ascii="Book Antiqua" w:hAnsi="Book Antiqua"/>
          <w:b/>
          <w:lang w:val="id-ID"/>
        </w:rPr>
        <w:t xml:space="preserve">, Dolot Alhasni Bakung </w:t>
      </w:r>
      <w:r w:rsidR="004F0EAE" w:rsidRPr="00AD14D5">
        <w:rPr>
          <w:rFonts w:ascii="Book Antiqua" w:hAnsi="Book Antiqua"/>
          <w:b/>
          <w:vertAlign w:val="superscript"/>
          <w:lang w:val="id-ID"/>
        </w:rPr>
        <w:t>3</w:t>
      </w:r>
      <w:r w:rsidR="004F0EAE" w:rsidRPr="00AD14D5">
        <w:rPr>
          <w:rFonts w:ascii="Book Antiqua" w:hAnsi="Book Antiqua"/>
          <w:b/>
          <w:lang w:val="id-ID"/>
        </w:rPr>
        <w:t xml:space="preserve"> </w:t>
      </w:r>
    </w:p>
    <w:p w14:paraId="1603BFD9" w14:textId="77777777" w:rsidR="004F0EAE" w:rsidRPr="00AD14D5" w:rsidRDefault="004F0EAE" w:rsidP="007243A0">
      <w:pPr>
        <w:spacing w:line="276" w:lineRule="auto"/>
        <w:ind w:left="0"/>
        <w:jc w:val="center"/>
        <w:rPr>
          <w:rFonts w:ascii="Book Antiqua" w:hAnsi="Book Antiqua"/>
          <w:i/>
          <w:sz w:val="20"/>
          <w:szCs w:val="20"/>
          <w:lang w:val="id-ID"/>
        </w:rPr>
      </w:pPr>
      <w:r w:rsidRPr="00AD14D5">
        <w:rPr>
          <w:rFonts w:ascii="Book Antiqua" w:hAnsi="Book Antiqua"/>
          <w:i/>
          <w:sz w:val="20"/>
          <w:szCs w:val="20"/>
          <w:vertAlign w:val="superscript"/>
          <w:lang w:val="id-ID"/>
        </w:rPr>
        <w:t xml:space="preserve">1 </w:t>
      </w:r>
      <w:r w:rsidRPr="00AD14D5">
        <w:rPr>
          <w:rFonts w:ascii="Book Antiqua" w:hAnsi="Book Antiqua"/>
          <w:i/>
          <w:sz w:val="20"/>
          <w:szCs w:val="20"/>
          <w:lang w:val="id-ID"/>
        </w:rPr>
        <w:t>Faculty of Law, State University of Gorontalo, Indonesia. E-mail:</w:t>
      </w:r>
      <w:r w:rsidR="007C4529" w:rsidRPr="00AD14D5">
        <w:rPr>
          <w:rFonts w:ascii="Book Antiqua" w:hAnsi="Book Antiqua"/>
        </w:rPr>
        <w:t xml:space="preserve"> </w:t>
      </w:r>
      <w:r w:rsidR="007C4529" w:rsidRPr="00AD14D5">
        <w:rPr>
          <w:rFonts w:ascii="Book Antiqua" w:hAnsi="Book Antiqua"/>
          <w:i/>
          <w:sz w:val="20"/>
          <w:szCs w:val="20"/>
          <w:lang w:val="id-ID"/>
        </w:rPr>
        <w:t>riksonadam919 @gmail.com</w:t>
      </w:r>
    </w:p>
    <w:p w14:paraId="28E3AFC4" w14:textId="77777777" w:rsidR="004F0EAE" w:rsidRPr="00AD14D5" w:rsidRDefault="004F0EAE" w:rsidP="007243A0">
      <w:pPr>
        <w:spacing w:line="276" w:lineRule="auto"/>
        <w:ind w:left="0"/>
        <w:jc w:val="center"/>
        <w:rPr>
          <w:rFonts w:ascii="Book Antiqua" w:hAnsi="Book Antiqua"/>
          <w:i/>
          <w:sz w:val="20"/>
          <w:szCs w:val="20"/>
          <w:lang w:val="id-ID"/>
        </w:rPr>
      </w:pPr>
      <w:r w:rsidRPr="00AD14D5">
        <w:rPr>
          <w:rFonts w:ascii="Book Antiqua" w:hAnsi="Book Antiqua"/>
          <w:i/>
          <w:sz w:val="20"/>
          <w:szCs w:val="20"/>
          <w:vertAlign w:val="superscript"/>
          <w:lang w:val="id-ID"/>
        </w:rPr>
        <w:t xml:space="preserve">2 </w:t>
      </w:r>
      <w:r w:rsidRPr="00AD14D5">
        <w:rPr>
          <w:rFonts w:ascii="Book Antiqua" w:hAnsi="Book Antiqua"/>
          <w:i/>
          <w:sz w:val="20"/>
          <w:szCs w:val="20"/>
          <w:lang w:val="id-ID"/>
        </w:rPr>
        <w:t>Faculty of Law, State University of Gorontalo, Indonesia. E-mail: nurkasim@ung.ac.id</w:t>
      </w:r>
    </w:p>
    <w:p w14:paraId="6731F0DA" w14:textId="333137F0" w:rsidR="00FE42E3" w:rsidRPr="00AD14D5" w:rsidRDefault="004F0EAE" w:rsidP="001F16E9">
      <w:pPr>
        <w:pBdr>
          <w:bottom w:val="thinThickThinMediumGap" w:sz="18" w:space="1" w:color="auto"/>
        </w:pBdr>
        <w:spacing w:line="276" w:lineRule="auto"/>
        <w:ind w:left="0"/>
        <w:jc w:val="center"/>
        <w:rPr>
          <w:rFonts w:ascii="Book Antiqua" w:hAnsi="Book Antiqua"/>
          <w:i/>
          <w:sz w:val="20"/>
          <w:szCs w:val="20"/>
          <w:lang w:val="id-ID"/>
        </w:rPr>
      </w:pPr>
      <w:r w:rsidRPr="00AD14D5">
        <w:rPr>
          <w:rStyle w:val="Hyperlink"/>
          <w:rFonts w:ascii="Book Antiqua" w:hAnsi="Book Antiqua"/>
          <w:i/>
          <w:color w:val="auto"/>
          <w:sz w:val="20"/>
          <w:szCs w:val="20"/>
          <w:u w:val="none"/>
          <w:vertAlign w:val="superscript"/>
          <w:lang w:val="id-ID"/>
        </w:rPr>
        <w:t xml:space="preserve">3 </w:t>
      </w:r>
      <w:r w:rsidRPr="00AD14D5">
        <w:rPr>
          <w:rStyle w:val="Hyperlink"/>
          <w:rFonts w:ascii="Book Antiqua" w:hAnsi="Book Antiqua"/>
          <w:i/>
          <w:color w:val="auto"/>
          <w:sz w:val="20"/>
          <w:szCs w:val="20"/>
          <w:u w:val="none"/>
          <w:lang w:val="id-ID"/>
        </w:rPr>
        <w:t>Faculty of Law, State University of Gorontalo, Indonesia. E-mail: dolot.alhasni.bakung@gmail.com</w:t>
      </w:r>
    </w:p>
    <w:p w14:paraId="2798FD11" w14:textId="65B2329F" w:rsidR="001F16E9" w:rsidRPr="00AD14D5" w:rsidRDefault="004F0EAE" w:rsidP="001F16E9">
      <w:pPr>
        <w:spacing w:line="240" w:lineRule="auto"/>
        <w:ind w:left="0"/>
        <w:rPr>
          <w:rFonts w:ascii="Book Antiqua" w:eastAsia="Times New Roman" w:hAnsi="Book Antiqua"/>
          <w:color w:val="000000"/>
          <w:sz w:val="24"/>
          <w:szCs w:val="24"/>
        </w:rPr>
      </w:pPr>
      <w:r w:rsidRPr="00AD14D5">
        <w:rPr>
          <w:rFonts w:ascii="Book Antiqua" w:hAnsi="Book Antiqua"/>
          <w:b/>
          <w:lang w:val="id-ID"/>
        </w:rPr>
        <w:t xml:space="preserve">Abstract: </w:t>
      </w:r>
      <w:r w:rsidR="0099093E" w:rsidRPr="00AD14D5">
        <w:rPr>
          <w:rFonts w:ascii="Book Antiqua" w:eastAsia="Times New Roman" w:hAnsi="Book Antiqua"/>
          <w:color w:val="000000"/>
          <w:lang w:val="id-ID"/>
        </w:rPr>
        <w:t xml:space="preserve">The purpose of this study is </w:t>
      </w:r>
      <w:r w:rsidR="0099093E" w:rsidRPr="00AD14D5">
        <w:rPr>
          <w:rFonts w:ascii="Book Antiqua" w:eastAsia="Times New Roman" w:hAnsi="Book Antiqua"/>
          <w:color w:val="000000"/>
        </w:rPr>
        <w:t xml:space="preserve">to analyze the judge's decision in </w:t>
      </w:r>
      <w:r w:rsidR="0099093E" w:rsidRPr="00AD14D5">
        <w:rPr>
          <w:rFonts w:ascii="Book Antiqua" w:eastAsia="Times New Roman" w:hAnsi="Book Antiqua"/>
          <w:color w:val="000000"/>
          <w:sz w:val="24"/>
          <w:szCs w:val="24"/>
        </w:rPr>
        <w:t>case number: 132/Pdt.P/2019/PA.</w:t>
      </w:r>
      <w:r w:rsidR="00766E78">
        <w:rPr>
          <w:rFonts w:ascii="Book Antiqua" w:eastAsia="Times New Roman" w:hAnsi="Book Antiqua"/>
          <w:color w:val="000000"/>
          <w:sz w:val="24"/>
          <w:szCs w:val="24"/>
          <w:lang w:val="id-ID"/>
        </w:rPr>
        <w:t xml:space="preserve"> </w:t>
      </w:r>
      <w:r w:rsidR="0099093E" w:rsidRPr="00AD14D5">
        <w:rPr>
          <w:rFonts w:ascii="Book Antiqua" w:eastAsia="Times New Roman" w:hAnsi="Book Antiqua"/>
          <w:color w:val="000000"/>
          <w:sz w:val="24"/>
          <w:szCs w:val="24"/>
        </w:rPr>
        <w:t>Gtlo</w:t>
      </w:r>
      <w:r w:rsidR="00537B6F" w:rsidRPr="00AD14D5">
        <w:rPr>
          <w:rFonts w:ascii="Book Antiqua" w:eastAsia="Times New Roman" w:hAnsi="Book Antiqua"/>
          <w:color w:val="000000"/>
          <w:sz w:val="24"/>
          <w:szCs w:val="24"/>
          <w:lang w:val="id-ID"/>
        </w:rPr>
        <w:t xml:space="preserve"> </w:t>
      </w:r>
      <w:r w:rsidR="0099093E" w:rsidRPr="00AD14D5">
        <w:rPr>
          <w:rFonts w:ascii="Book Antiqua" w:eastAsia="Times New Roman" w:hAnsi="Book Antiqua"/>
          <w:color w:val="000000"/>
          <w:sz w:val="24"/>
          <w:szCs w:val="24"/>
        </w:rPr>
        <w:t xml:space="preserve">viewed from the Compilation of Islamic Law </w:t>
      </w:r>
      <w:r w:rsidR="0099093E" w:rsidRPr="00AD14D5">
        <w:rPr>
          <w:rFonts w:ascii="Book Antiqua" w:eastAsia="Times New Roman" w:hAnsi="Book Antiqua"/>
          <w:color w:val="000000"/>
          <w:sz w:val="24"/>
          <w:szCs w:val="24"/>
          <w:lang w:val="id-ID"/>
        </w:rPr>
        <w:t xml:space="preserve">This </w:t>
      </w:r>
      <w:r w:rsidR="0099093E" w:rsidRPr="00AD14D5">
        <w:rPr>
          <w:rFonts w:ascii="Book Antiqua" w:eastAsia="Times New Roman" w:hAnsi="Book Antiqua"/>
          <w:color w:val="000000"/>
          <w:sz w:val="24"/>
          <w:szCs w:val="24"/>
        </w:rPr>
        <w:t xml:space="preserve">research uses a normative-empirical legal research type, where an analysis of the written law is carried out with factual events in the field. In this study, the data sources used are primary data consisting of the results of interviews and field observations, the Civil Code, </w:t>
      </w:r>
      <w:r w:rsidR="00007603">
        <w:rPr>
          <w:rFonts w:ascii="Book Antiqua" w:eastAsia="Times New Roman" w:hAnsi="Book Antiqua"/>
          <w:color w:val="000000"/>
          <w:sz w:val="24"/>
          <w:szCs w:val="24"/>
        </w:rPr>
        <w:t>ILC</w:t>
      </w:r>
      <w:r w:rsidR="00766E78">
        <w:rPr>
          <w:rFonts w:ascii="Book Antiqua" w:eastAsia="Times New Roman" w:hAnsi="Book Antiqua"/>
          <w:color w:val="000000"/>
          <w:sz w:val="24"/>
          <w:szCs w:val="24"/>
          <w:lang w:val="id-ID"/>
        </w:rPr>
        <w:t>,</w:t>
      </w:r>
      <w:r w:rsidR="0099093E" w:rsidRPr="00AD14D5">
        <w:rPr>
          <w:rFonts w:ascii="Book Antiqua" w:eastAsia="Times New Roman" w:hAnsi="Book Antiqua"/>
          <w:color w:val="000000"/>
          <w:sz w:val="24"/>
          <w:szCs w:val="24"/>
        </w:rPr>
        <w:t xml:space="preserve"> and judges' decisions related to the issues being discussed; and secondary data (supporting) scientific works, and other sources related to the problems discussed.</w:t>
      </w:r>
      <w:r w:rsidR="0099093E" w:rsidRPr="00AD14D5">
        <w:rPr>
          <w:rFonts w:ascii="Book Antiqua" w:eastAsia="Times New Roman" w:hAnsi="Book Antiqua"/>
          <w:color w:val="000000"/>
          <w:sz w:val="24"/>
          <w:szCs w:val="24"/>
          <w:lang w:val="id-ID"/>
        </w:rPr>
        <w:t xml:space="preserve"> </w:t>
      </w:r>
      <w:r w:rsidR="0099093E" w:rsidRPr="00AD14D5">
        <w:rPr>
          <w:rFonts w:ascii="Book Antiqua" w:eastAsia="Times New Roman" w:hAnsi="Book Antiqua"/>
          <w:color w:val="000000"/>
          <w:sz w:val="24"/>
          <w:szCs w:val="24"/>
        </w:rPr>
        <w:t>The results of the study show that first, the substitute heirs proposed by the applicants in case no. 132/Pdt.P/2019/PA.Gtlo from the late. Zubaida Datau may become a substitute heir based on the provisions formulated in the Compilation of Islamic Law (</w:t>
      </w:r>
      <w:r w:rsidR="00007603">
        <w:rPr>
          <w:rFonts w:ascii="Book Antiqua" w:eastAsia="Times New Roman" w:hAnsi="Book Antiqua"/>
          <w:color w:val="000000"/>
          <w:sz w:val="24"/>
          <w:szCs w:val="24"/>
        </w:rPr>
        <w:t>ILC</w:t>
      </w:r>
      <w:r w:rsidR="0099093E" w:rsidRPr="00AD14D5">
        <w:rPr>
          <w:rFonts w:ascii="Book Antiqua" w:eastAsia="Times New Roman" w:hAnsi="Book Antiqua"/>
          <w:color w:val="000000"/>
          <w:sz w:val="24"/>
          <w:szCs w:val="24"/>
        </w:rPr>
        <w:t xml:space="preserve">), provided that the plot of land is the property of the late. Saini Datau. However, if the plot of land is the property of the Almh. Kamaria Datau, then the substitute heir proposed by the applicant, must be declared not accepted by the panel of judges at the Gorontalo PA because he is prevented from becoming an heir based on the </w:t>
      </w:r>
      <w:r w:rsidR="00007603">
        <w:rPr>
          <w:rFonts w:ascii="Book Antiqua" w:eastAsia="Times New Roman" w:hAnsi="Book Antiqua"/>
          <w:color w:val="000000"/>
          <w:sz w:val="24"/>
          <w:szCs w:val="24"/>
        </w:rPr>
        <w:t>ILC</w:t>
      </w:r>
      <w:r w:rsidR="0099093E" w:rsidRPr="00AD14D5">
        <w:rPr>
          <w:rFonts w:ascii="Book Antiqua" w:eastAsia="Times New Roman" w:hAnsi="Book Antiqua"/>
          <w:color w:val="000000"/>
          <w:sz w:val="24"/>
          <w:szCs w:val="24"/>
        </w:rPr>
        <w:t xml:space="preserve"> formulation. </w:t>
      </w:r>
      <w:r w:rsidR="00DC70F7" w:rsidRPr="00AD14D5">
        <w:rPr>
          <w:rFonts w:ascii="Book Antiqua" w:eastAsia="Times New Roman" w:hAnsi="Book Antiqua"/>
          <w:color w:val="000000"/>
          <w:sz w:val="24"/>
          <w:szCs w:val="24"/>
          <w:lang w:val="id-ID"/>
        </w:rPr>
        <w:t xml:space="preserve">Legal </w:t>
      </w:r>
      <w:r w:rsidR="0099093E" w:rsidRPr="00AD14D5">
        <w:rPr>
          <w:rFonts w:ascii="Book Antiqua" w:eastAsia="Times New Roman" w:hAnsi="Book Antiqua"/>
          <w:color w:val="000000"/>
          <w:sz w:val="24"/>
          <w:szCs w:val="24"/>
        </w:rPr>
        <w:t>considerations of the panel of judges examining case No. 132/Pdt.P/2019/PA.</w:t>
      </w:r>
      <w:r w:rsidR="00766E78">
        <w:rPr>
          <w:rFonts w:ascii="Book Antiqua" w:eastAsia="Times New Roman" w:hAnsi="Book Antiqua"/>
          <w:color w:val="000000"/>
          <w:sz w:val="24"/>
          <w:szCs w:val="24"/>
          <w:lang w:val="id-ID"/>
        </w:rPr>
        <w:t xml:space="preserve"> </w:t>
      </w:r>
      <w:r w:rsidR="0099093E" w:rsidRPr="00AD14D5">
        <w:rPr>
          <w:rFonts w:ascii="Book Antiqua" w:eastAsia="Times New Roman" w:hAnsi="Book Antiqua"/>
          <w:color w:val="000000"/>
          <w:sz w:val="24"/>
          <w:szCs w:val="24"/>
        </w:rPr>
        <w:t>Gtlo</w:t>
      </w:r>
      <w:r w:rsidR="00766E78" w:rsidRPr="00766E78">
        <w:rPr>
          <w:rFonts w:ascii="Book Antiqua" w:eastAsia="Times New Roman" w:hAnsi="Book Antiqua"/>
          <w:color w:val="000000"/>
          <w:sz w:val="24"/>
          <w:szCs w:val="24"/>
        </w:rPr>
        <w:t>, where the case is declared unacceptable,</w:t>
      </w:r>
      <w:r w:rsidR="0099093E" w:rsidRPr="00AD14D5">
        <w:rPr>
          <w:rFonts w:ascii="Book Antiqua" w:eastAsia="Times New Roman" w:hAnsi="Book Antiqua"/>
          <w:color w:val="000000"/>
          <w:sz w:val="24"/>
          <w:szCs w:val="24"/>
        </w:rPr>
        <w:t xml:space="preserve"> is that </w:t>
      </w:r>
      <w:r w:rsidR="006949B8">
        <w:rPr>
          <w:rFonts w:ascii="Book Antiqua" w:eastAsia="Times New Roman" w:hAnsi="Book Antiqua"/>
          <w:color w:val="000000"/>
          <w:sz w:val="24"/>
          <w:szCs w:val="24"/>
          <w:lang w:val="id-ID"/>
        </w:rPr>
        <w:t>it</w:t>
      </w:r>
      <w:r w:rsidR="0099093E" w:rsidRPr="00AD14D5">
        <w:rPr>
          <w:rFonts w:ascii="Book Antiqua" w:eastAsia="Times New Roman" w:hAnsi="Book Antiqua"/>
          <w:color w:val="000000"/>
          <w:sz w:val="24"/>
          <w:szCs w:val="24"/>
        </w:rPr>
        <w:t xml:space="preserve"> is unclear/fuzzy, no longer </w:t>
      </w:r>
      <w:r w:rsidR="00766E78">
        <w:rPr>
          <w:rFonts w:ascii="Book Antiqua" w:eastAsia="Times New Roman" w:hAnsi="Book Antiqua"/>
          <w:color w:val="000000"/>
          <w:sz w:val="24"/>
          <w:szCs w:val="24"/>
          <w:lang w:val="id-ID"/>
        </w:rPr>
        <w:t>voluntary</w:t>
      </w:r>
      <w:r w:rsidR="0099093E" w:rsidRPr="00AD14D5">
        <w:rPr>
          <w:rFonts w:ascii="Book Antiqua" w:eastAsia="Times New Roman" w:hAnsi="Book Antiqua"/>
          <w:color w:val="000000"/>
          <w:sz w:val="24"/>
          <w:szCs w:val="24"/>
        </w:rPr>
        <w:t>, but a contentious case, because it contains a dispute between the heirs of the deceased's heirs. Kamaria Datau, and the late. Zubaida Datau.</w:t>
      </w:r>
    </w:p>
    <w:p w14:paraId="2774E257" w14:textId="77777777" w:rsidR="003064C8" w:rsidRDefault="003064C8" w:rsidP="001F16E9">
      <w:pPr>
        <w:spacing w:line="240" w:lineRule="auto"/>
        <w:ind w:left="0"/>
        <w:rPr>
          <w:rStyle w:val="Hyperlink"/>
          <w:rFonts w:ascii="Book Antiqua" w:hAnsi="Book Antiqua"/>
          <w:b/>
          <w:bCs/>
          <w:iCs/>
          <w:color w:val="000000"/>
          <w:sz w:val="24"/>
          <w:szCs w:val="24"/>
          <w:u w:val="none"/>
          <w:lang w:val="id-ID"/>
        </w:rPr>
      </w:pPr>
    </w:p>
    <w:p w14:paraId="4162FF6F" w14:textId="20F1B1A2" w:rsidR="004F0EAE" w:rsidRPr="00AD14D5" w:rsidRDefault="004F0EAE" w:rsidP="001F16E9">
      <w:pPr>
        <w:spacing w:line="240" w:lineRule="auto"/>
        <w:ind w:left="0"/>
        <w:rPr>
          <w:rStyle w:val="Hyperlink"/>
          <w:rFonts w:ascii="Book Antiqua" w:hAnsi="Book Antiqua"/>
          <w:iCs/>
          <w:color w:val="000000"/>
          <w:sz w:val="24"/>
          <w:szCs w:val="24"/>
          <w:u w:val="none"/>
        </w:rPr>
      </w:pPr>
      <w:r w:rsidRPr="00AD14D5">
        <w:rPr>
          <w:rStyle w:val="Hyperlink"/>
          <w:rFonts w:ascii="Book Antiqua" w:hAnsi="Book Antiqua"/>
          <w:b/>
          <w:bCs/>
          <w:iCs/>
          <w:color w:val="000000"/>
          <w:sz w:val="24"/>
          <w:szCs w:val="24"/>
          <w:u w:val="none"/>
          <w:lang w:val="id-ID"/>
        </w:rPr>
        <w:t>Keywords</w:t>
      </w:r>
      <w:r w:rsidRPr="00AD14D5">
        <w:rPr>
          <w:rStyle w:val="Hyperlink"/>
          <w:rFonts w:ascii="Book Antiqua" w:hAnsi="Book Antiqua"/>
          <w:b/>
          <w:bCs/>
          <w:iCs/>
          <w:color w:val="000000"/>
          <w:sz w:val="24"/>
          <w:szCs w:val="24"/>
          <w:u w:val="none"/>
        </w:rPr>
        <w:t xml:space="preserve">: </w:t>
      </w:r>
      <w:r w:rsidR="0099093E" w:rsidRPr="00AD14D5">
        <w:rPr>
          <w:rStyle w:val="Hyperlink"/>
          <w:rFonts w:ascii="Book Antiqua" w:hAnsi="Book Antiqua"/>
          <w:iCs/>
          <w:color w:val="000000"/>
          <w:sz w:val="24"/>
          <w:szCs w:val="24"/>
          <w:u w:val="none"/>
        </w:rPr>
        <w:t>Substitute Heirs</w:t>
      </w:r>
      <w:r w:rsidR="00F33D9C">
        <w:rPr>
          <w:rStyle w:val="Hyperlink"/>
          <w:rFonts w:ascii="Book Antiqua" w:hAnsi="Book Antiqua"/>
          <w:iCs/>
          <w:color w:val="000000"/>
          <w:sz w:val="24"/>
          <w:szCs w:val="24"/>
          <w:u w:val="none"/>
          <w:lang w:val="id-ID"/>
        </w:rPr>
        <w:t>;</w:t>
      </w:r>
      <w:r w:rsidR="0099093E" w:rsidRPr="00AD14D5">
        <w:rPr>
          <w:rStyle w:val="Hyperlink"/>
          <w:rFonts w:ascii="Book Antiqua" w:hAnsi="Book Antiqua"/>
          <w:iCs/>
          <w:color w:val="000000"/>
          <w:sz w:val="24"/>
          <w:szCs w:val="24"/>
          <w:u w:val="none"/>
        </w:rPr>
        <w:t>Judge's Consideration</w:t>
      </w:r>
      <w:r w:rsidR="00F33D9C">
        <w:rPr>
          <w:rStyle w:val="Hyperlink"/>
          <w:rFonts w:ascii="Book Antiqua" w:hAnsi="Book Antiqua"/>
          <w:iCs/>
          <w:color w:val="000000"/>
          <w:sz w:val="24"/>
          <w:szCs w:val="24"/>
          <w:u w:val="none"/>
          <w:lang w:val="id-ID"/>
        </w:rPr>
        <w:t>;</w:t>
      </w:r>
      <w:r w:rsidR="0099093E" w:rsidRPr="00AD14D5">
        <w:rPr>
          <w:rStyle w:val="Hyperlink"/>
          <w:rFonts w:ascii="Book Antiqua" w:hAnsi="Book Antiqua"/>
          <w:iCs/>
          <w:color w:val="000000"/>
          <w:sz w:val="24"/>
          <w:szCs w:val="24"/>
          <w:u w:val="none"/>
        </w:rPr>
        <w:t>Legal Position.</w:t>
      </w:r>
    </w:p>
    <w:p w14:paraId="0DEE22B0" w14:textId="77777777" w:rsidR="004F0EAE" w:rsidRPr="00AD14D5" w:rsidRDefault="004F0EAE" w:rsidP="00A222E7">
      <w:pPr>
        <w:pBdr>
          <w:bottom w:val="thinThickThinMediumGap" w:sz="18" w:space="1" w:color="auto"/>
        </w:pBdr>
        <w:spacing w:line="240" w:lineRule="auto"/>
        <w:ind w:left="0"/>
        <w:rPr>
          <w:rFonts w:ascii="Book Antiqua" w:hAnsi="Book Antiqua"/>
          <w:i/>
          <w:sz w:val="16"/>
          <w:szCs w:val="16"/>
          <w:lang w:val="id-ID"/>
        </w:rPr>
      </w:pPr>
    </w:p>
    <w:p w14:paraId="03B579DB" w14:textId="77777777" w:rsidR="004F0EAE" w:rsidRPr="00AD14D5" w:rsidRDefault="004F0EAE" w:rsidP="00A222E7">
      <w:pPr>
        <w:spacing w:line="240" w:lineRule="auto"/>
        <w:ind w:left="0"/>
        <w:rPr>
          <w:rFonts w:ascii="Book Antiqua" w:hAnsi="Book Antiqua"/>
          <w:i/>
          <w:sz w:val="16"/>
          <w:szCs w:val="16"/>
        </w:rPr>
      </w:pPr>
    </w:p>
    <w:p w14:paraId="5089B76F" w14:textId="0578B038" w:rsidR="00A222E7" w:rsidRDefault="004F0EAE" w:rsidP="00D85C74">
      <w:pPr>
        <w:spacing w:line="240" w:lineRule="auto"/>
        <w:ind w:left="0"/>
        <w:rPr>
          <w:rFonts w:ascii="Book Antiqua" w:hAnsi="Book Antiqua" w:cs="Arial"/>
          <w:i/>
          <w:sz w:val="20"/>
          <w:szCs w:val="20"/>
        </w:rPr>
      </w:pPr>
      <w:r w:rsidRPr="00AD14D5">
        <w:rPr>
          <w:rFonts w:ascii="Book Antiqua" w:hAnsi="Book Antiqua" w:cs="Arial"/>
          <w:i/>
          <w:sz w:val="20"/>
          <w:szCs w:val="20"/>
          <w:lang w:val="en-GB"/>
        </w:rPr>
        <w:t xml:space="preserve">© </w:t>
      </w:r>
      <w:r w:rsidRPr="00AD14D5">
        <w:rPr>
          <w:rFonts w:ascii="Book Antiqua" w:hAnsi="Book Antiqua" w:cs="Arial"/>
          <w:i/>
          <w:sz w:val="20"/>
          <w:szCs w:val="20"/>
          <w:lang w:val="id-ID"/>
        </w:rPr>
        <w:t xml:space="preserve">202 </w:t>
      </w:r>
      <w:r w:rsidRPr="00AD14D5">
        <w:rPr>
          <w:rFonts w:ascii="Book Antiqua" w:hAnsi="Book Antiqua" w:cs="Arial"/>
          <w:i/>
          <w:sz w:val="20"/>
          <w:szCs w:val="20"/>
        </w:rPr>
        <w:t xml:space="preserve">2 ESLAW </w:t>
      </w:r>
      <w:r w:rsidRPr="00AD14D5">
        <w:rPr>
          <w:rFonts w:ascii="Book Antiqua" w:hAnsi="Book Antiqua" w:cs="Arial"/>
          <w:i/>
          <w:sz w:val="20"/>
          <w:szCs w:val="20"/>
          <w:lang w:val="id-ID"/>
        </w:rPr>
        <w:t>. Faculty of Law</w:t>
      </w:r>
      <w:r w:rsidRPr="00AD14D5">
        <w:rPr>
          <w:rFonts w:ascii="Book Antiqua" w:hAnsi="Book Antiqua" w:cs="Arial"/>
          <w:i/>
          <w:sz w:val="20"/>
          <w:szCs w:val="20"/>
        </w:rPr>
        <w:t>, State University of Gorontalo</w:t>
      </w:r>
      <w:bookmarkEnd w:id="0"/>
      <w:bookmarkEnd w:id="1"/>
    </w:p>
    <w:p w14:paraId="67EEC082" w14:textId="4D5C2D6B" w:rsidR="003064C8" w:rsidRDefault="003064C8" w:rsidP="00D85C74">
      <w:pPr>
        <w:spacing w:line="240" w:lineRule="auto"/>
        <w:ind w:left="0"/>
        <w:rPr>
          <w:rFonts w:ascii="Book Antiqua" w:hAnsi="Book Antiqua" w:cs="Arial"/>
          <w:i/>
          <w:sz w:val="20"/>
          <w:szCs w:val="20"/>
        </w:rPr>
      </w:pPr>
    </w:p>
    <w:p w14:paraId="2253BED5" w14:textId="77777777" w:rsidR="003064C8" w:rsidRPr="00AD14D5" w:rsidRDefault="003064C8" w:rsidP="00D85C74">
      <w:pPr>
        <w:spacing w:line="240" w:lineRule="auto"/>
        <w:ind w:left="0"/>
        <w:rPr>
          <w:rFonts w:ascii="Book Antiqua" w:hAnsi="Book Antiqua" w:cs="Arial"/>
          <w:i/>
          <w:sz w:val="20"/>
          <w:szCs w:val="20"/>
        </w:rPr>
      </w:pPr>
    </w:p>
    <w:p w14:paraId="6E066839" w14:textId="77777777" w:rsidR="000413C0" w:rsidRPr="00AD14D5" w:rsidRDefault="004F0EAE" w:rsidP="004B3D44">
      <w:pPr>
        <w:pStyle w:val="ListParagraph"/>
        <w:numPr>
          <w:ilvl w:val="0"/>
          <w:numId w:val="7"/>
        </w:numPr>
        <w:spacing w:after="0"/>
        <w:ind w:left="284" w:hanging="284"/>
        <w:jc w:val="both"/>
        <w:rPr>
          <w:rFonts w:ascii="Book Antiqua" w:hAnsi="Book Antiqua" w:cs="Arial"/>
          <w:i/>
          <w:color w:val="C00000"/>
          <w:szCs w:val="18"/>
        </w:rPr>
      </w:pPr>
      <w:r w:rsidRPr="00AD14D5">
        <w:rPr>
          <w:rFonts w:ascii="Book Antiqua" w:hAnsi="Book Antiqua" w:cs="Arial"/>
          <w:b/>
          <w:color w:val="C00000"/>
          <w:sz w:val="28"/>
          <w:szCs w:val="18"/>
        </w:rPr>
        <w:t>Introduction</w:t>
      </w:r>
      <w:bookmarkStart w:id="2" w:name="_Toc2"/>
      <w:bookmarkStart w:id="3" w:name="_Toc292564711"/>
    </w:p>
    <w:p w14:paraId="06D956BC" w14:textId="020D0294" w:rsidR="00782DC5" w:rsidRPr="00AD14D5" w:rsidRDefault="000413C0" w:rsidP="004B3D44">
      <w:pPr>
        <w:pStyle w:val="ListParagraph"/>
        <w:spacing w:before="240" w:after="240"/>
        <w:ind w:left="0"/>
        <w:contextualSpacing w:val="0"/>
        <w:jc w:val="both"/>
        <w:rPr>
          <w:rFonts w:ascii="Book Antiqua" w:hAnsi="Book Antiqua" w:cs="Arial"/>
          <w:bCs/>
          <w:sz w:val="24"/>
          <w:szCs w:val="24"/>
        </w:rPr>
      </w:pPr>
      <w:r w:rsidRPr="00AD14D5">
        <w:rPr>
          <w:rFonts w:ascii="Book Antiqua" w:hAnsi="Book Antiqua" w:cs="Arial"/>
          <w:bCs/>
          <w:sz w:val="24"/>
          <w:szCs w:val="24"/>
        </w:rPr>
        <w:t xml:space="preserve">The existence and diversity of the inheritance law system that applies in Indonesia cannot be separated from the plurality that exists in Indonesia itself. </w:t>
      </w:r>
      <w:r w:rsidRPr="00AD14D5">
        <w:rPr>
          <w:rStyle w:val="FootnoteReference"/>
          <w:rFonts w:ascii="Book Antiqua" w:hAnsi="Book Antiqua" w:cs="Arial"/>
          <w:bCs/>
          <w:sz w:val="24"/>
          <w:szCs w:val="24"/>
        </w:rPr>
        <w:footnoteReference w:id="1"/>
      </w:r>
      <w:r w:rsidRPr="00AD14D5">
        <w:rPr>
          <w:rFonts w:ascii="Book Antiqua" w:hAnsi="Book Antiqua" w:cs="Arial"/>
          <w:bCs/>
          <w:sz w:val="24"/>
          <w:szCs w:val="24"/>
        </w:rPr>
        <w:t>Between the Civil Code, the Islamic inheritance law system and customary law have their characteristics, with provisions such as the Civil Code for Europeans, Easterners, and indigenous people who submit themselves to the Civil Code.</w:t>
      </w:r>
      <w:r w:rsidRPr="00AD14D5">
        <w:rPr>
          <w:rStyle w:val="FootnoteReference"/>
          <w:rFonts w:ascii="Book Antiqua" w:hAnsi="Book Antiqua" w:cs="Arial"/>
          <w:bCs/>
          <w:sz w:val="24"/>
          <w:szCs w:val="24"/>
        </w:rPr>
        <w:footnoteReference w:id="2"/>
      </w:r>
    </w:p>
    <w:p w14:paraId="5AE11FDF" w14:textId="1F4DC253" w:rsidR="000413C0" w:rsidRPr="00AD14D5" w:rsidRDefault="00622FF3" w:rsidP="004B3D44">
      <w:pPr>
        <w:pStyle w:val="ListParagraph"/>
        <w:spacing w:before="240" w:after="240"/>
        <w:ind w:left="0"/>
        <w:contextualSpacing w:val="0"/>
        <w:jc w:val="both"/>
        <w:rPr>
          <w:rFonts w:ascii="Book Antiqua" w:hAnsi="Book Antiqua" w:cs="Arial"/>
          <w:bCs/>
          <w:sz w:val="24"/>
          <w:szCs w:val="24"/>
          <w:lang w:val="id-ID"/>
        </w:rPr>
      </w:pPr>
      <w:r w:rsidRPr="00AD14D5">
        <w:rPr>
          <w:rFonts w:ascii="Book Antiqua" w:hAnsi="Book Antiqua"/>
          <w:noProof/>
          <w:sz w:val="24"/>
          <w:szCs w:val="24"/>
        </w:rPr>
        <w:t>There are three types of legal systems that apply in Indonesia, namely the customary law system, civil law</w:t>
      </w:r>
      <w:r w:rsidR="00766E78">
        <w:rPr>
          <w:rFonts w:ascii="Book Antiqua" w:hAnsi="Book Antiqua"/>
          <w:noProof/>
          <w:sz w:val="24"/>
          <w:szCs w:val="24"/>
          <w:lang w:val="id-ID"/>
        </w:rPr>
        <w:t>,</w:t>
      </w:r>
      <w:r w:rsidRPr="00AD14D5">
        <w:rPr>
          <w:rFonts w:ascii="Book Antiqua" w:hAnsi="Book Antiqua"/>
          <w:noProof/>
          <w:sz w:val="24"/>
          <w:szCs w:val="24"/>
        </w:rPr>
        <w:t xml:space="preserve"> and Islamic law</w:t>
      </w:r>
      <w:r w:rsidRPr="00AD14D5">
        <w:rPr>
          <w:rFonts w:ascii="Book Antiqua" w:hAnsi="Book Antiqua"/>
          <w:noProof/>
          <w:sz w:val="24"/>
          <w:szCs w:val="24"/>
          <w:lang w:val="id-ID"/>
        </w:rPr>
        <w:t>.</w:t>
      </w:r>
      <w:r w:rsidRPr="00AD14D5">
        <w:rPr>
          <w:rStyle w:val="FootnoteReference"/>
          <w:rFonts w:ascii="Book Antiqua" w:hAnsi="Book Antiqua"/>
          <w:noProof/>
          <w:sz w:val="24"/>
          <w:szCs w:val="24"/>
          <w:lang w:val="id-ID"/>
        </w:rPr>
        <w:footnoteReference w:id="3"/>
      </w:r>
      <w:r w:rsidRPr="00AD14D5">
        <w:rPr>
          <w:rFonts w:ascii="Book Antiqua" w:hAnsi="Book Antiqua"/>
          <w:noProof/>
          <w:sz w:val="24"/>
          <w:szCs w:val="24"/>
          <w:lang w:val="id-ID"/>
        </w:rPr>
        <w:t xml:space="preserve"> </w:t>
      </w:r>
      <w:r w:rsidR="009265E0" w:rsidRPr="00AD14D5">
        <w:rPr>
          <w:rFonts w:ascii="Book Antiqua" w:hAnsi="Book Antiqua"/>
          <w:noProof/>
          <w:sz w:val="24"/>
          <w:szCs w:val="24"/>
        </w:rPr>
        <w:t>Law is</w:t>
      </w:r>
      <w:r w:rsidR="009265E0" w:rsidRPr="00AD14D5">
        <w:rPr>
          <w:rFonts w:ascii="Book Antiqua" w:hAnsi="Book Antiqua"/>
          <w:noProof/>
          <w:sz w:val="24"/>
          <w:szCs w:val="24"/>
          <w:lang w:val="id-ID"/>
        </w:rPr>
        <w:t xml:space="preserve"> </w:t>
      </w:r>
      <w:r w:rsidR="00766E78">
        <w:rPr>
          <w:rFonts w:ascii="Book Antiqua" w:hAnsi="Book Antiqua"/>
          <w:noProof/>
          <w:sz w:val="24"/>
          <w:szCs w:val="24"/>
          <w:lang w:val="id-ID"/>
        </w:rPr>
        <w:t xml:space="preserve">a </w:t>
      </w:r>
      <w:r w:rsidR="009265E0" w:rsidRPr="00AD14D5">
        <w:rPr>
          <w:rFonts w:ascii="Book Antiqua" w:hAnsi="Book Antiqua"/>
          <w:noProof/>
          <w:sz w:val="24"/>
          <w:szCs w:val="24"/>
        </w:rPr>
        <w:t xml:space="preserve">political </w:t>
      </w:r>
      <w:r w:rsidR="00766E78">
        <w:rPr>
          <w:rFonts w:ascii="Book Antiqua" w:hAnsi="Book Antiqua"/>
          <w:noProof/>
          <w:sz w:val="24"/>
          <w:szCs w:val="24"/>
          <w:lang w:val="id-ID"/>
        </w:rPr>
        <w:t>product because</w:t>
      </w:r>
      <w:r w:rsidR="009265E0" w:rsidRPr="00AD14D5">
        <w:rPr>
          <w:rFonts w:ascii="Book Antiqua" w:hAnsi="Book Antiqua"/>
          <w:noProof/>
          <w:sz w:val="24"/>
          <w:szCs w:val="24"/>
        </w:rPr>
        <w:t xml:space="preserve"> </w:t>
      </w:r>
      <w:r w:rsidR="009265E0" w:rsidRPr="00AD14D5">
        <w:rPr>
          <w:rFonts w:ascii="Book Antiqua" w:hAnsi="Book Antiqua"/>
          <w:noProof/>
          <w:sz w:val="24"/>
          <w:szCs w:val="24"/>
          <w:lang w:val="id-ID"/>
        </w:rPr>
        <w:t xml:space="preserve">the </w:t>
      </w:r>
      <w:r w:rsidR="009265E0" w:rsidRPr="00AD14D5">
        <w:rPr>
          <w:rFonts w:ascii="Book Antiqua" w:hAnsi="Book Antiqua"/>
          <w:noProof/>
          <w:sz w:val="24"/>
          <w:szCs w:val="24"/>
        </w:rPr>
        <w:t xml:space="preserve">character of the content of each </w:t>
      </w:r>
      <w:r w:rsidR="009265E0" w:rsidRPr="00AD14D5">
        <w:rPr>
          <w:rFonts w:ascii="Book Antiqua" w:hAnsi="Book Antiqua"/>
          <w:noProof/>
          <w:sz w:val="24"/>
          <w:szCs w:val="24"/>
          <w:lang w:val="id-ID"/>
        </w:rPr>
        <w:t>legal product will be largely determined or colored by the balance of power or political configuration that gave birth to it</w:t>
      </w:r>
      <w:r w:rsidR="009265E0" w:rsidRPr="00AD14D5">
        <w:rPr>
          <w:rFonts w:ascii="Book Antiqua" w:hAnsi="Book Antiqua" w:cs="Calibri Light"/>
          <w:bCs/>
          <w:sz w:val="24"/>
          <w:szCs w:val="24"/>
          <w:lang w:val="id-ID"/>
        </w:rPr>
        <w:t>.</w:t>
      </w:r>
      <w:r w:rsidR="009265E0" w:rsidRPr="00AD14D5">
        <w:rPr>
          <w:rStyle w:val="FootnoteReference"/>
          <w:rFonts w:ascii="Book Antiqua" w:hAnsi="Book Antiqua" w:cs="Calibri Light"/>
          <w:bCs/>
          <w:sz w:val="24"/>
          <w:szCs w:val="24"/>
          <w:lang w:val="id-ID"/>
        </w:rPr>
        <w:footnoteReference w:id="4"/>
      </w:r>
      <w:r w:rsidR="009265E0" w:rsidRPr="00AD14D5">
        <w:rPr>
          <w:rFonts w:ascii="Book Antiqua" w:hAnsi="Book Antiqua" w:cs="Calibri Light"/>
          <w:bCs/>
          <w:sz w:val="24"/>
          <w:szCs w:val="24"/>
          <w:lang w:val="id-ID"/>
        </w:rPr>
        <w:t xml:space="preserve"> </w:t>
      </w:r>
      <w:r w:rsidR="00F13B40" w:rsidRPr="00AD14D5">
        <w:rPr>
          <w:rFonts w:ascii="Book Antiqua" w:hAnsi="Book Antiqua" w:cs="Calibri Light"/>
          <w:bCs/>
          <w:sz w:val="24"/>
          <w:szCs w:val="24"/>
        </w:rPr>
        <w:t>The main characteristic of the state is the emergence of the government's obligation to realize the general welfare of its citizens</w:t>
      </w:r>
      <w:r w:rsidR="00F13B40" w:rsidRPr="00AD14D5">
        <w:rPr>
          <w:rFonts w:ascii="Book Antiqua" w:hAnsi="Book Antiqua" w:cs="Arial"/>
          <w:iCs/>
          <w:sz w:val="24"/>
          <w:szCs w:val="20"/>
          <w:lang w:val="id-ID"/>
        </w:rPr>
        <w:t>.</w:t>
      </w:r>
      <w:r w:rsidR="00F13B40" w:rsidRPr="00AD14D5">
        <w:rPr>
          <w:rStyle w:val="FootnoteReference"/>
          <w:rFonts w:ascii="Book Antiqua" w:hAnsi="Book Antiqua" w:cs="Arial"/>
          <w:iCs/>
          <w:sz w:val="24"/>
          <w:szCs w:val="20"/>
          <w:lang w:val="id-ID"/>
        </w:rPr>
        <w:footnoteReference w:id="5"/>
      </w:r>
      <w:r w:rsidR="00F13B40" w:rsidRPr="00AD14D5">
        <w:rPr>
          <w:rFonts w:ascii="Book Antiqua" w:hAnsi="Book Antiqua" w:cs="Arial"/>
          <w:iCs/>
          <w:sz w:val="24"/>
          <w:szCs w:val="20"/>
          <w:lang w:val="id-ID"/>
        </w:rPr>
        <w:t xml:space="preserve"> </w:t>
      </w:r>
      <w:r w:rsidR="000413C0" w:rsidRPr="00AD14D5">
        <w:rPr>
          <w:rFonts w:ascii="Book Antiqua" w:hAnsi="Book Antiqua" w:cs="Arial"/>
          <w:iCs/>
          <w:sz w:val="24"/>
          <w:szCs w:val="20"/>
        </w:rPr>
        <w:t xml:space="preserve">Especially for Muslims, there are also provisions for the inheritance system </w:t>
      </w:r>
      <w:r w:rsidR="00766E78">
        <w:rPr>
          <w:rFonts w:ascii="Book Antiqua" w:hAnsi="Book Antiqua" w:cs="Arial"/>
          <w:iCs/>
          <w:sz w:val="24"/>
          <w:szCs w:val="20"/>
          <w:lang w:val="id-ID"/>
        </w:rPr>
        <w:t>concerning</w:t>
      </w:r>
      <w:r w:rsidR="000413C0" w:rsidRPr="00AD14D5">
        <w:rPr>
          <w:rFonts w:ascii="Book Antiqua" w:hAnsi="Book Antiqua" w:cs="Arial"/>
          <w:iCs/>
          <w:sz w:val="24"/>
          <w:szCs w:val="20"/>
        </w:rPr>
        <w:t xml:space="preserve"> the Compilation of Islamic Law (</w:t>
      </w:r>
      <w:r w:rsidR="00007603">
        <w:rPr>
          <w:rFonts w:ascii="Book Antiqua" w:hAnsi="Book Antiqua" w:cs="Arial"/>
          <w:iCs/>
          <w:sz w:val="24"/>
          <w:szCs w:val="20"/>
        </w:rPr>
        <w:t>ILC</w:t>
      </w:r>
      <w:r w:rsidR="000413C0" w:rsidRPr="00AD14D5">
        <w:rPr>
          <w:rFonts w:ascii="Book Antiqua" w:hAnsi="Book Antiqua" w:cs="Arial"/>
          <w:iCs/>
          <w:sz w:val="24"/>
          <w:szCs w:val="20"/>
        </w:rPr>
        <w:t xml:space="preserve">) as a legal norm in regulating how the inheritance is distributed to those who are left behind, especially the wives, children, and relatives of </w:t>
      </w:r>
      <w:r w:rsidR="00766E78">
        <w:rPr>
          <w:rFonts w:ascii="Book Antiqua" w:hAnsi="Book Antiqua" w:cs="Arial"/>
          <w:iCs/>
          <w:sz w:val="24"/>
          <w:szCs w:val="20"/>
          <w:lang w:val="id-ID"/>
        </w:rPr>
        <w:t xml:space="preserve">the </w:t>
      </w:r>
      <w:r w:rsidR="000413C0" w:rsidRPr="00AD14D5">
        <w:rPr>
          <w:rFonts w:ascii="Book Antiqua" w:hAnsi="Book Antiqua" w:cs="Arial"/>
          <w:iCs/>
          <w:sz w:val="24"/>
          <w:szCs w:val="20"/>
        </w:rPr>
        <w:t>deceased heirs. The formation of legal norms is essentially a statutory regulation</w:t>
      </w:r>
      <w:r w:rsidR="00C71C1B" w:rsidRPr="00AD14D5">
        <w:rPr>
          <w:rFonts w:ascii="Book Antiqua" w:hAnsi="Book Antiqua" w:cs="Arial"/>
          <w:iCs/>
          <w:sz w:val="24"/>
          <w:szCs w:val="20"/>
          <w:lang w:val="id-ID"/>
        </w:rPr>
        <w:t xml:space="preserve">. </w:t>
      </w:r>
      <w:r w:rsidR="00C71C1B" w:rsidRPr="00AD14D5">
        <w:rPr>
          <w:rStyle w:val="FootnoteReference"/>
          <w:rFonts w:ascii="Book Antiqua" w:hAnsi="Book Antiqua" w:cs="Arial"/>
          <w:iCs/>
          <w:sz w:val="24"/>
          <w:szCs w:val="20"/>
          <w:lang w:val="id-ID"/>
        </w:rPr>
        <w:footnoteReference w:id="6"/>
      </w:r>
      <w:r w:rsidR="00C71C1B" w:rsidRPr="00AD14D5">
        <w:rPr>
          <w:rFonts w:ascii="Book Antiqua" w:hAnsi="Book Antiqua" w:cs="Arial"/>
          <w:iCs/>
          <w:sz w:val="24"/>
          <w:szCs w:val="20"/>
        </w:rPr>
        <w:t xml:space="preserve">Of the three types of legal systems, namely the Civil Code, </w:t>
      </w:r>
      <w:r w:rsidR="00007603">
        <w:rPr>
          <w:rFonts w:ascii="Book Antiqua" w:hAnsi="Book Antiqua" w:cs="Arial"/>
          <w:iCs/>
          <w:sz w:val="24"/>
          <w:szCs w:val="20"/>
        </w:rPr>
        <w:t>ILC</w:t>
      </w:r>
      <w:r w:rsidR="00C71C1B" w:rsidRPr="00AD14D5">
        <w:rPr>
          <w:rFonts w:ascii="Book Antiqua" w:hAnsi="Book Antiqua" w:cs="Arial"/>
          <w:iCs/>
          <w:sz w:val="24"/>
          <w:szCs w:val="20"/>
        </w:rPr>
        <w:t>, and customary inheritance systems, each of these legal systems has advantages.</w:t>
      </w:r>
      <w:r w:rsidR="001F7472" w:rsidRPr="00AD14D5">
        <w:rPr>
          <w:rFonts w:ascii="Book Antiqua" w:hAnsi="Book Antiqua" w:cs="Arial"/>
          <w:iCs/>
          <w:sz w:val="24"/>
          <w:szCs w:val="20"/>
          <w:lang w:val="id-ID"/>
        </w:rPr>
        <w:t xml:space="preserve"> </w:t>
      </w:r>
    </w:p>
    <w:p w14:paraId="099082FC" w14:textId="40E35F29" w:rsidR="000413C0" w:rsidRPr="00AD14D5" w:rsidRDefault="003064C8" w:rsidP="004B3D44">
      <w:pPr>
        <w:pStyle w:val="ListParagraph"/>
        <w:spacing w:before="240" w:after="240"/>
        <w:ind w:left="0"/>
        <w:contextualSpacing w:val="0"/>
        <w:jc w:val="both"/>
        <w:rPr>
          <w:rFonts w:ascii="Book Antiqua" w:hAnsi="Book Antiqua" w:cs="Arial"/>
          <w:iCs/>
          <w:sz w:val="24"/>
          <w:szCs w:val="20"/>
        </w:rPr>
      </w:pPr>
      <w:r>
        <w:rPr>
          <w:rFonts w:ascii="Book Antiqua" w:hAnsi="Book Antiqua" w:cs="Arial"/>
          <w:iCs/>
          <w:sz w:val="24"/>
          <w:szCs w:val="20"/>
          <w:lang w:val="id-ID"/>
        </w:rPr>
        <w:t>Based on</w:t>
      </w:r>
      <w:r w:rsidR="000413C0" w:rsidRPr="00AD14D5">
        <w:rPr>
          <w:rFonts w:ascii="Book Antiqua" w:hAnsi="Book Antiqua" w:cs="Arial"/>
          <w:iCs/>
          <w:sz w:val="24"/>
          <w:szCs w:val="20"/>
        </w:rPr>
        <w:t xml:space="preserve"> studies conducted by Dumaria Situmorang, she stated that one of the ways that can be taken in solving inheritance problems is to summon elders, village officials, and people who have sufficient knowledge about inheritance to consult and resolve it in a familial way.</w:t>
      </w:r>
      <w:r w:rsidR="009061AC" w:rsidRPr="00AD14D5">
        <w:rPr>
          <w:rStyle w:val="FootnoteReference"/>
          <w:rFonts w:ascii="Book Antiqua" w:hAnsi="Book Antiqua" w:cs="Arial"/>
          <w:iCs/>
          <w:sz w:val="24"/>
          <w:szCs w:val="20"/>
        </w:rPr>
        <w:footnoteReference w:id="7"/>
      </w:r>
      <w:r w:rsidR="000413C0" w:rsidRPr="00AD14D5">
        <w:rPr>
          <w:rFonts w:ascii="Book Antiqua" w:hAnsi="Book Antiqua" w:cs="Arial"/>
          <w:iCs/>
          <w:sz w:val="24"/>
          <w:szCs w:val="20"/>
        </w:rPr>
        <w:t xml:space="preserve">  However, in addition to being </w:t>
      </w:r>
      <w:r w:rsidR="000413C0" w:rsidRPr="00AD14D5">
        <w:rPr>
          <w:rFonts w:ascii="Book Antiqua" w:hAnsi="Book Antiqua" w:cs="Arial"/>
          <w:iCs/>
          <w:sz w:val="24"/>
          <w:szCs w:val="20"/>
        </w:rPr>
        <w:lastRenderedPageBreak/>
        <w:t>resolved by kinship (customary law), inheritance can also be pursued using the judicial system.</w:t>
      </w:r>
    </w:p>
    <w:p w14:paraId="07FDB047" w14:textId="4A9355AF" w:rsidR="009061AC" w:rsidRPr="00AD14D5" w:rsidRDefault="0073440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rPr>
        <w:t>According to the language, inheritance can be interpreted as the transfer of something from one person to another</w:t>
      </w:r>
      <w:r w:rsidRPr="00AD14D5">
        <w:rPr>
          <w:rFonts w:ascii="Book Antiqua" w:hAnsi="Book Antiqua" w:cs="Arial"/>
          <w:iCs/>
          <w:sz w:val="24"/>
          <w:szCs w:val="20"/>
          <w:lang w:val="id-ID"/>
        </w:rPr>
        <w:t>.</w:t>
      </w:r>
      <w:r w:rsidRPr="00AD14D5">
        <w:rPr>
          <w:rStyle w:val="FootnoteReference"/>
          <w:rFonts w:ascii="Book Antiqua" w:hAnsi="Book Antiqua" w:cs="Arial"/>
          <w:iCs/>
          <w:sz w:val="24"/>
          <w:szCs w:val="20"/>
          <w:lang w:val="id-ID"/>
        </w:rPr>
        <w:footnoteReference w:id="8"/>
      </w:r>
      <w:r w:rsidRPr="00AD14D5">
        <w:rPr>
          <w:rFonts w:ascii="Book Antiqua" w:hAnsi="Book Antiqua" w:cs="Arial"/>
          <w:iCs/>
          <w:sz w:val="24"/>
          <w:szCs w:val="20"/>
          <w:lang w:val="id-ID"/>
        </w:rPr>
        <w:t xml:space="preserve"> </w:t>
      </w:r>
      <w:r w:rsidR="000413C0" w:rsidRPr="00AD14D5">
        <w:rPr>
          <w:rFonts w:ascii="Book Antiqua" w:hAnsi="Book Antiqua" w:cs="Arial"/>
          <w:iCs/>
          <w:sz w:val="24"/>
          <w:szCs w:val="20"/>
        </w:rPr>
        <w:t>Inheritance is one of the most frequently disputed matters by the parties, both wives, children, and relatives who have blood relations with the testator. Maimun stated that inheritance law is a regulation that regulates the transfer of property due to death</w:t>
      </w:r>
      <w:r w:rsidR="00783293" w:rsidRPr="00AD14D5">
        <w:rPr>
          <w:rFonts w:ascii="Book Antiqua" w:hAnsi="Book Antiqua" w:cs="Arial"/>
          <w:iCs/>
          <w:sz w:val="24"/>
          <w:szCs w:val="20"/>
          <w:lang w:val="id-ID"/>
        </w:rPr>
        <w:t xml:space="preserve">. </w:t>
      </w:r>
      <w:r w:rsidR="00766E78">
        <w:rPr>
          <w:rStyle w:val="FootnoteReference"/>
          <w:rFonts w:ascii="Book Antiqua" w:hAnsi="Book Antiqua" w:cs="Arial"/>
          <w:iCs/>
          <w:sz w:val="24"/>
          <w:szCs w:val="20"/>
          <w:lang w:val="id-ID"/>
        </w:rPr>
        <w:t>Nasrudin</w:t>
      </w:r>
      <w:r w:rsidR="00783293" w:rsidRPr="00AD14D5">
        <w:rPr>
          <w:rFonts w:ascii="Book Antiqua" w:hAnsi="Book Antiqua" w:cs="Arial"/>
          <w:iCs/>
          <w:sz w:val="24"/>
          <w:szCs w:val="20"/>
        </w:rPr>
        <w:t xml:space="preserve"> and Verlyta Swislyn in their book, that the death of a person will result in the transfer of rights and obligations to the heirs</w:t>
      </w:r>
      <w:r w:rsidR="00CF0340" w:rsidRPr="00AD14D5">
        <w:rPr>
          <w:rFonts w:ascii="Book Antiqua" w:hAnsi="Book Antiqua" w:cs="Arial"/>
          <w:iCs/>
          <w:sz w:val="24"/>
          <w:szCs w:val="20"/>
          <w:lang w:val="id-ID"/>
        </w:rPr>
        <w:t xml:space="preserve">. </w:t>
      </w:r>
      <w:r w:rsidR="00CF0340" w:rsidRPr="00AD14D5">
        <w:rPr>
          <w:rStyle w:val="FootnoteReference"/>
          <w:rFonts w:ascii="Book Antiqua" w:hAnsi="Book Antiqua" w:cs="Arial"/>
          <w:iCs/>
          <w:sz w:val="24"/>
          <w:szCs w:val="20"/>
          <w:lang w:val="id-ID"/>
        </w:rPr>
        <w:footnoteReference w:id="9"/>
      </w:r>
      <w:r w:rsidR="000413C0" w:rsidRPr="00AD14D5">
        <w:rPr>
          <w:rFonts w:ascii="Book Antiqua" w:hAnsi="Book Antiqua" w:cs="Arial"/>
          <w:iCs/>
          <w:sz w:val="24"/>
          <w:szCs w:val="20"/>
        </w:rPr>
        <w:t>It was recorded that in 2020 the number of cases resolved by the Supreme Court (MA) at the Cassation level was 45 cases, and the Judicial Review (PK)</w:t>
      </w:r>
      <w:r w:rsidR="009061AC" w:rsidRPr="00AD14D5">
        <w:rPr>
          <w:rFonts w:ascii="Book Antiqua" w:hAnsi="Book Antiqua" w:cs="Arial"/>
          <w:iCs/>
          <w:sz w:val="24"/>
          <w:szCs w:val="20"/>
          <w:lang w:val="id-ID"/>
        </w:rPr>
        <w:t xml:space="preserve"> </w:t>
      </w:r>
      <w:r w:rsidR="000413C0" w:rsidRPr="00AD14D5">
        <w:rPr>
          <w:rFonts w:ascii="Book Antiqua" w:hAnsi="Book Antiqua" w:cs="Arial"/>
          <w:iCs/>
          <w:sz w:val="24"/>
          <w:szCs w:val="20"/>
        </w:rPr>
        <w:t>as many as 36 cases.</w:t>
      </w:r>
      <w:r w:rsidR="009061AC" w:rsidRPr="00AD14D5">
        <w:rPr>
          <w:rStyle w:val="FootnoteReference"/>
          <w:rFonts w:ascii="Book Antiqua" w:hAnsi="Book Antiqua" w:cs="Arial"/>
          <w:iCs/>
          <w:sz w:val="24"/>
          <w:szCs w:val="20"/>
        </w:rPr>
        <w:footnoteReference w:id="10"/>
      </w:r>
      <w:r w:rsidR="009061AC" w:rsidRPr="00AD14D5">
        <w:rPr>
          <w:rFonts w:ascii="Book Antiqua" w:hAnsi="Book Antiqua" w:cs="Arial"/>
          <w:iCs/>
          <w:sz w:val="24"/>
          <w:szCs w:val="20"/>
          <w:lang w:val="id-ID"/>
        </w:rPr>
        <w:t xml:space="preserve"> </w:t>
      </w:r>
      <w:r w:rsidR="000413C0" w:rsidRPr="00AD14D5">
        <w:rPr>
          <w:rFonts w:ascii="Book Antiqua" w:hAnsi="Book Antiqua" w:cs="Arial"/>
          <w:iCs/>
          <w:sz w:val="24"/>
          <w:szCs w:val="20"/>
        </w:rPr>
        <w:t>This number does not include inheritance cases that are entered in court under the Supreme Court both at the first level and at the appeal level. This certainly indicates that inheritance cases are one type of dispute that deserves attention because it relates to the rights of the parties to the inheritance dispute</w:t>
      </w:r>
      <w:r w:rsidR="009061AC" w:rsidRPr="00AD14D5">
        <w:rPr>
          <w:rFonts w:ascii="Book Antiqua" w:hAnsi="Book Antiqua" w:cs="Arial"/>
          <w:iCs/>
          <w:sz w:val="24"/>
          <w:szCs w:val="20"/>
          <w:lang w:val="id-ID"/>
        </w:rPr>
        <w:t xml:space="preserve">. </w:t>
      </w:r>
      <w:r w:rsidR="00832A3F" w:rsidRPr="00AD14D5">
        <w:rPr>
          <w:rFonts w:ascii="Book Antiqua" w:hAnsi="Book Antiqua" w:cs="Arial"/>
          <w:iCs/>
          <w:sz w:val="24"/>
          <w:szCs w:val="20"/>
        </w:rPr>
        <w:t xml:space="preserve">In general, waqf in Indonesia is used for mosques, prayer rooms, schools/foundations, meals, </w:t>
      </w:r>
      <w:r w:rsidR="00766E78">
        <w:rPr>
          <w:rFonts w:ascii="Book Antiqua" w:hAnsi="Book Antiqua" w:cs="Arial"/>
          <w:iCs/>
          <w:sz w:val="24"/>
          <w:szCs w:val="20"/>
          <w:lang w:val="id-ID"/>
        </w:rPr>
        <w:t xml:space="preserve">and </w:t>
      </w:r>
      <w:r w:rsidR="00832A3F" w:rsidRPr="00AD14D5">
        <w:rPr>
          <w:rFonts w:ascii="Book Antiqua" w:hAnsi="Book Antiqua" w:cs="Arial"/>
          <w:iCs/>
          <w:sz w:val="24"/>
          <w:szCs w:val="20"/>
        </w:rPr>
        <w:t>orphanages</w:t>
      </w:r>
      <w:r w:rsidR="00766E78">
        <w:rPr>
          <w:rFonts w:ascii="Book Antiqua" w:hAnsi="Book Antiqua" w:cs="Arial"/>
          <w:iCs/>
          <w:sz w:val="24"/>
          <w:szCs w:val="20"/>
          <w:lang w:val="id-ID"/>
        </w:rPr>
        <w:t>,</w:t>
      </w:r>
      <w:r w:rsidR="00832A3F" w:rsidRPr="00AD14D5">
        <w:rPr>
          <w:rFonts w:ascii="Book Antiqua" w:hAnsi="Book Antiqua" w:cs="Arial"/>
          <w:iCs/>
          <w:sz w:val="24"/>
          <w:szCs w:val="20"/>
        </w:rPr>
        <w:t xml:space="preserve"> and very little waqf land is managed productively in the form of a business whose results can be used for parties in need, especially the poor.</w:t>
      </w:r>
    </w:p>
    <w:p w14:paraId="2A604625" w14:textId="6D7464F8" w:rsidR="009061AC" w:rsidRPr="00AD14D5" w:rsidRDefault="009061AC" w:rsidP="004B3D44">
      <w:pPr>
        <w:pStyle w:val="ListParagraph"/>
        <w:spacing w:before="240" w:after="240"/>
        <w:ind w:left="0"/>
        <w:contextualSpacing w:val="0"/>
        <w:jc w:val="both"/>
        <w:rPr>
          <w:rFonts w:ascii="Book Antiqua" w:hAnsi="Book Antiqua" w:cs="Arial"/>
          <w:iCs/>
          <w:sz w:val="24"/>
          <w:szCs w:val="24"/>
          <w:lang w:val="id-ID"/>
        </w:rPr>
      </w:pPr>
      <w:r w:rsidRPr="00AD14D5">
        <w:rPr>
          <w:rFonts w:ascii="Book Antiqua" w:hAnsi="Book Antiqua" w:cs="Arial"/>
          <w:iCs/>
          <w:sz w:val="24"/>
          <w:szCs w:val="20"/>
          <w:lang w:val="id-ID"/>
        </w:rPr>
        <w:t xml:space="preserve">The distribution of inheritance by the heir to the heirs has been determined by various legal norms (inheritance law system) both in the Civil Code and the Islamic inheritance law system. In the inheritance system, </w:t>
      </w:r>
      <w:r w:rsidR="00766E78">
        <w:rPr>
          <w:rFonts w:ascii="Book Antiqua" w:hAnsi="Book Antiqua" w:cs="Arial"/>
          <w:iCs/>
          <w:sz w:val="24"/>
          <w:szCs w:val="20"/>
          <w:lang w:val="id-ID"/>
        </w:rPr>
        <w:t>some principles must</w:t>
      </w:r>
      <w:r w:rsidRPr="00AD14D5">
        <w:rPr>
          <w:rFonts w:ascii="Book Antiqua" w:hAnsi="Book Antiqua" w:cs="Arial"/>
          <w:iCs/>
          <w:sz w:val="24"/>
          <w:szCs w:val="20"/>
          <w:lang w:val="id-ID"/>
        </w:rPr>
        <w:t xml:space="preserve"> be obeyed by the parties, especially those who are considered heirs. In another reference, the heir is said to be a person who replaces the position of the main heir due to certain reasons. </w:t>
      </w:r>
      <w:r w:rsidR="00734407" w:rsidRPr="00AD14D5">
        <w:rPr>
          <w:rStyle w:val="FootnoteReference"/>
          <w:rFonts w:ascii="Book Antiqua" w:hAnsi="Book Antiqua" w:cs="Arial"/>
          <w:iCs/>
          <w:sz w:val="24"/>
          <w:szCs w:val="20"/>
          <w:lang w:val="id-ID"/>
        </w:rPr>
        <w:footnoteReference w:id="11"/>
      </w:r>
      <w:r w:rsidR="00734407" w:rsidRPr="00AD14D5">
        <w:rPr>
          <w:rFonts w:ascii="Book Antiqua" w:hAnsi="Book Antiqua" w:cs="Arial"/>
          <w:iCs/>
          <w:sz w:val="24"/>
          <w:szCs w:val="20"/>
          <w:lang w:val="id-ID"/>
        </w:rPr>
        <w:t xml:space="preserve">For example, when referring to the western inheritance system (KUHPerdata), new inheritance can occur when the testator has died, </w:t>
      </w:r>
      <w:r w:rsidRPr="00AD14D5">
        <w:rPr>
          <w:rStyle w:val="FootnoteReference"/>
          <w:rFonts w:ascii="Book Antiqua" w:hAnsi="Book Antiqua" w:cs="Arial"/>
          <w:iCs/>
          <w:sz w:val="24"/>
          <w:szCs w:val="20"/>
          <w:lang w:val="id-ID"/>
        </w:rPr>
        <w:footnoteReference w:id="12"/>
      </w:r>
      <w:r w:rsidRPr="00AD14D5">
        <w:rPr>
          <w:rFonts w:ascii="Book Antiqua" w:hAnsi="Book Antiqua" w:cs="Arial"/>
          <w:iCs/>
          <w:sz w:val="24"/>
          <w:szCs w:val="20"/>
          <w:lang w:val="id-ID"/>
        </w:rPr>
        <w:t xml:space="preserve">and those who are entitled to become heirs are those who are related by blood. </w:t>
      </w:r>
      <w:r w:rsidRPr="00AD14D5">
        <w:rPr>
          <w:rStyle w:val="FootnoteReference"/>
          <w:rFonts w:ascii="Book Antiqua" w:hAnsi="Book Antiqua" w:cs="Arial"/>
          <w:iCs/>
          <w:sz w:val="24"/>
          <w:szCs w:val="20"/>
          <w:lang w:val="id-ID"/>
        </w:rPr>
        <w:footnoteReference w:id="13"/>
      </w:r>
      <w:r w:rsidRPr="00AD14D5">
        <w:rPr>
          <w:rFonts w:ascii="Book Antiqua" w:hAnsi="Book Antiqua" w:cs="Arial"/>
          <w:iCs/>
          <w:sz w:val="24"/>
          <w:szCs w:val="20"/>
          <w:lang w:val="id-ID"/>
        </w:rPr>
        <w:t xml:space="preserve">As for the Islamic inheritance system, which becomes the heir of inheritance, </w:t>
      </w:r>
      <w:r w:rsidR="00766E78">
        <w:rPr>
          <w:rFonts w:ascii="Book Antiqua" w:hAnsi="Book Antiqua" w:cs="Arial"/>
          <w:iCs/>
          <w:sz w:val="24"/>
          <w:szCs w:val="20"/>
          <w:lang w:val="id-ID"/>
        </w:rPr>
        <w:t>some principles must</w:t>
      </w:r>
      <w:r w:rsidRPr="00AD14D5">
        <w:rPr>
          <w:rFonts w:ascii="Book Antiqua" w:hAnsi="Book Antiqua" w:cs="Arial"/>
          <w:iCs/>
          <w:sz w:val="24"/>
          <w:szCs w:val="20"/>
          <w:lang w:val="id-ID"/>
        </w:rPr>
        <w:t xml:space="preserve"> be met, namely, first, the heirs must be Muslim. Second, never commit a crime such as killing or attempting to kill. Third, prospective heirs are those who have blood relations with the provisions </w:t>
      </w:r>
      <w:r w:rsidRPr="00AD14D5">
        <w:rPr>
          <w:rFonts w:ascii="Book Antiqua" w:hAnsi="Book Antiqua" w:cs="Arial"/>
          <w:iCs/>
          <w:sz w:val="24"/>
          <w:szCs w:val="20"/>
          <w:lang w:val="id-ID"/>
        </w:rPr>
        <w:lastRenderedPageBreak/>
        <w:t xml:space="preserve">stipulated in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As in another reference, it is stated that inheritance, also called </w:t>
      </w:r>
      <w:r w:rsidR="00766E78">
        <w:rPr>
          <w:rFonts w:ascii="Book Antiqua" w:hAnsi="Book Antiqua" w:cs="Arial"/>
          <w:iCs/>
          <w:sz w:val="24"/>
          <w:szCs w:val="20"/>
          <w:lang w:val="id-ID"/>
        </w:rPr>
        <w:t>a bundle</w:t>
      </w:r>
      <w:r w:rsidRPr="00AD14D5">
        <w:rPr>
          <w:rFonts w:ascii="Book Antiqua" w:hAnsi="Book Antiqua" w:cs="Arial"/>
          <w:iCs/>
          <w:sz w:val="24"/>
          <w:szCs w:val="20"/>
          <w:lang w:val="id-ID"/>
        </w:rPr>
        <w:t xml:space="preserve">, is </w:t>
      </w:r>
      <w:r w:rsidR="00766E78">
        <w:rPr>
          <w:rFonts w:ascii="Book Antiqua" w:hAnsi="Book Antiqua" w:cs="Arial"/>
          <w:iCs/>
          <w:sz w:val="24"/>
          <w:szCs w:val="20"/>
          <w:lang w:val="id-ID"/>
        </w:rPr>
        <w:t xml:space="preserve">a </w:t>
      </w:r>
      <w:r w:rsidRPr="00AD14D5">
        <w:rPr>
          <w:rFonts w:ascii="Book Antiqua" w:hAnsi="Book Antiqua" w:cs="Arial"/>
          <w:iCs/>
          <w:sz w:val="24"/>
          <w:szCs w:val="20"/>
          <w:lang w:val="id-ID"/>
        </w:rPr>
        <w:t>property that is handed over or transferred from the person (heir) to the heir</w:t>
      </w:r>
      <w:r w:rsidR="00783293" w:rsidRPr="00AD14D5">
        <w:rPr>
          <w:rFonts w:ascii="Book Antiqua" w:hAnsi="Book Antiqua" w:cs="Arial"/>
          <w:iCs/>
          <w:sz w:val="24"/>
          <w:szCs w:val="24"/>
          <w:lang w:val="id-ID"/>
        </w:rPr>
        <w:t>.</w:t>
      </w:r>
      <w:r w:rsidR="00783293" w:rsidRPr="00AD14D5">
        <w:rPr>
          <w:rStyle w:val="FootnoteReference"/>
          <w:rFonts w:ascii="Book Antiqua" w:hAnsi="Book Antiqua" w:cs="Arial"/>
          <w:iCs/>
          <w:sz w:val="24"/>
          <w:szCs w:val="24"/>
          <w:lang w:val="id-ID"/>
        </w:rPr>
        <w:footnoteReference w:id="14"/>
      </w:r>
      <w:r w:rsidR="00CF0340" w:rsidRPr="00AD14D5">
        <w:rPr>
          <w:rFonts w:ascii="Book Antiqua" w:hAnsi="Book Antiqua"/>
          <w:sz w:val="24"/>
          <w:szCs w:val="24"/>
        </w:rPr>
        <w:t xml:space="preserve"> </w:t>
      </w:r>
      <w:r w:rsidR="00CF0340" w:rsidRPr="00AD14D5">
        <w:rPr>
          <w:rFonts w:ascii="Book Antiqua" w:hAnsi="Book Antiqua"/>
          <w:sz w:val="24"/>
          <w:szCs w:val="24"/>
          <w:lang w:val="id-ID"/>
        </w:rPr>
        <w:t xml:space="preserve">As for customary inheritance law. </w:t>
      </w:r>
      <w:r w:rsidR="00CF0340" w:rsidRPr="00AD14D5">
        <w:rPr>
          <w:rFonts w:ascii="Book Antiqua" w:hAnsi="Book Antiqua" w:cs="Arial"/>
          <w:iCs/>
          <w:sz w:val="24"/>
          <w:szCs w:val="24"/>
          <w:lang w:val="id-ID"/>
        </w:rPr>
        <w:t xml:space="preserve">Sigit Sapto Nugroho said that customary inheritance law is influenced by kinship patterns that arise as a result of the law. </w:t>
      </w:r>
      <w:r w:rsidR="00CF0340" w:rsidRPr="00AD14D5">
        <w:rPr>
          <w:rStyle w:val="FootnoteReference"/>
          <w:rFonts w:ascii="Book Antiqua" w:hAnsi="Book Antiqua" w:cs="Arial"/>
          <w:iCs/>
          <w:sz w:val="24"/>
          <w:szCs w:val="24"/>
          <w:lang w:val="id-ID"/>
        </w:rPr>
        <w:footnoteReference w:id="15"/>
      </w:r>
      <w:r w:rsidR="00CF0340" w:rsidRPr="00AD14D5">
        <w:rPr>
          <w:rFonts w:ascii="Book Antiqua" w:hAnsi="Book Antiqua" w:cs="Arial"/>
          <w:iCs/>
          <w:sz w:val="24"/>
          <w:szCs w:val="24"/>
          <w:lang w:val="id-ID"/>
        </w:rPr>
        <w:t>One example of customary inheritance law in Indonesia is Balinese customary inheritance law, where the application of inheritance law is still influenced by the kinship system in Balinese customs.</w:t>
      </w:r>
      <w:r w:rsidR="00CF0340" w:rsidRPr="00AD14D5">
        <w:rPr>
          <w:rStyle w:val="FootnoteReference"/>
          <w:rFonts w:ascii="Book Antiqua" w:hAnsi="Book Antiqua" w:cs="Arial"/>
          <w:iCs/>
          <w:sz w:val="24"/>
          <w:szCs w:val="24"/>
          <w:lang w:val="id-ID"/>
        </w:rPr>
        <w:footnoteReference w:id="16"/>
      </w:r>
    </w:p>
    <w:p w14:paraId="4A6FD5AE" w14:textId="77777777" w:rsidR="00782DC5" w:rsidRPr="00AD14D5" w:rsidRDefault="00782DC5"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In the Civil Code, according to Pande Putu Keke Surya Dewantari, </w:t>
      </w:r>
      <w:r w:rsidRPr="00AD14D5">
        <w:rPr>
          <w:rStyle w:val="FootnoteReference"/>
          <w:rFonts w:ascii="Book Antiqua" w:hAnsi="Book Antiqua" w:cs="Arial"/>
          <w:iCs/>
          <w:sz w:val="24"/>
          <w:szCs w:val="20"/>
          <w:lang w:val="id-ID"/>
        </w:rPr>
        <w:footnoteReference w:id="17"/>
      </w:r>
      <w:r w:rsidRPr="00AD14D5">
        <w:rPr>
          <w:rFonts w:ascii="Book Antiqua" w:hAnsi="Book Antiqua" w:cs="Arial"/>
          <w:iCs/>
          <w:sz w:val="24"/>
          <w:szCs w:val="20"/>
          <w:lang w:val="id-ID"/>
        </w:rPr>
        <w:t>the distribution of inheritance to successor heirs is known as 3 distribution procedures, namely:</w:t>
      </w:r>
    </w:p>
    <w:p w14:paraId="3F653EB1" w14:textId="77777777" w:rsidR="00782DC5" w:rsidRPr="00AD14D5" w:rsidRDefault="00782DC5" w:rsidP="004B3D44">
      <w:pPr>
        <w:pStyle w:val="ListParagraph"/>
        <w:numPr>
          <w:ilvl w:val="0"/>
          <w:numId w:val="16"/>
        </w:numPr>
        <w:spacing w:before="240" w:after="24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Substitution of a straight line down whose distribution has been regulated in Article 842;</w:t>
      </w:r>
    </w:p>
    <w:p w14:paraId="2A22D4E8" w14:textId="77777777" w:rsidR="00782DC5" w:rsidRPr="00AD14D5" w:rsidRDefault="00782DC5" w:rsidP="004B3D44">
      <w:pPr>
        <w:pStyle w:val="ListParagraph"/>
        <w:numPr>
          <w:ilvl w:val="0"/>
          <w:numId w:val="16"/>
        </w:numPr>
        <w:spacing w:before="240" w:after="24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Substitution in the line to the side whose distribution is regulated in Article 853, jo. Article 856, jo. Article 857;</w:t>
      </w:r>
    </w:p>
    <w:p w14:paraId="154EA27F" w14:textId="77777777" w:rsidR="00782DC5" w:rsidRPr="00AD14D5" w:rsidRDefault="00782DC5" w:rsidP="004B3D44">
      <w:pPr>
        <w:pStyle w:val="ListParagraph"/>
        <w:numPr>
          <w:ilvl w:val="0"/>
          <w:numId w:val="16"/>
        </w:numPr>
        <w:spacing w:before="240" w:after="24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Substitutions in the line deviating to the side whose changes are regulated in Article 861</w:t>
      </w:r>
    </w:p>
    <w:p w14:paraId="04BCB04A" w14:textId="68A45CB4" w:rsidR="009061AC" w:rsidRPr="00AD14D5" w:rsidRDefault="009061AC"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In some cases, disputes related to inheritance also provide space for the disputing parties to seek justice. In practice, inheritance also involves parties with the status of substitute heirs. This is not a problem because</w:t>
      </w:r>
      <w:r w:rsidR="00766E78">
        <w:rPr>
          <w:rFonts w:ascii="Book Antiqua" w:hAnsi="Book Antiqua" w:cs="Arial"/>
          <w:iCs/>
          <w:sz w:val="24"/>
          <w:szCs w:val="20"/>
          <w:lang w:val="id-ID"/>
        </w:rPr>
        <w:t>,</w:t>
      </w:r>
      <w:r w:rsidRPr="00AD14D5">
        <w:rPr>
          <w:rFonts w:ascii="Book Antiqua" w:hAnsi="Book Antiqua" w:cs="Arial"/>
          <w:iCs/>
          <w:sz w:val="24"/>
          <w:szCs w:val="20"/>
          <w:lang w:val="id-ID"/>
        </w:rPr>
        <w:t xml:space="preserve"> in the western inheritance law system, substitute heirs are also known. Even so, in Islamic inheritance law, there are also substitute heirs. However, regarding substitute heirs, it must be </w:t>
      </w:r>
      <w:r w:rsidR="00766E78">
        <w:rPr>
          <w:rFonts w:ascii="Book Antiqua" w:hAnsi="Book Antiqua" w:cs="Arial"/>
          <w:iCs/>
          <w:sz w:val="24"/>
          <w:szCs w:val="20"/>
          <w:lang w:val="id-ID"/>
        </w:rPr>
        <w:t>by</w:t>
      </w:r>
      <w:r w:rsidRPr="00AD14D5">
        <w:rPr>
          <w:rFonts w:ascii="Book Antiqua" w:hAnsi="Book Antiqua" w:cs="Arial"/>
          <w:iCs/>
          <w:sz w:val="24"/>
          <w:szCs w:val="20"/>
          <w:lang w:val="id-ID"/>
        </w:rPr>
        <w:t xml:space="preserve"> what is formulated in the Civil Code and </w:t>
      </w:r>
      <w:r w:rsidR="00007603">
        <w:rPr>
          <w:rFonts w:ascii="Book Antiqua" w:hAnsi="Book Antiqua" w:cs="Arial"/>
          <w:iCs/>
          <w:sz w:val="24"/>
          <w:szCs w:val="20"/>
          <w:lang w:val="id-ID"/>
        </w:rPr>
        <w:t>ILC</w:t>
      </w:r>
      <w:r w:rsidRPr="00AD14D5">
        <w:rPr>
          <w:rFonts w:ascii="Book Antiqua" w:hAnsi="Book Antiqua" w:cs="Arial"/>
          <w:iCs/>
          <w:sz w:val="24"/>
          <w:szCs w:val="20"/>
          <w:lang w:val="id-ID"/>
        </w:rPr>
        <w:t>.</w:t>
      </w:r>
    </w:p>
    <w:p w14:paraId="55C3CBAA" w14:textId="77777777" w:rsidR="009061AC" w:rsidRPr="00AD14D5" w:rsidRDefault="009061AC"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A substitute heir is someone who has the right to inherit when the heir of the testator has died first. </w:t>
      </w:r>
      <w:r w:rsidRPr="00AD14D5">
        <w:rPr>
          <w:rStyle w:val="FootnoteReference"/>
          <w:rFonts w:ascii="Book Antiqua" w:hAnsi="Book Antiqua" w:cs="Arial"/>
          <w:iCs/>
          <w:sz w:val="24"/>
          <w:szCs w:val="20"/>
          <w:lang w:val="id-ID"/>
        </w:rPr>
        <w:footnoteReference w:id="18"/>
      </w:r>
      <w:r w:rsidRPr="00AD14D5">
        <w:rPr>
          <w:rFonts w:ascii="Book Antiqua" w:hAnsi="Book Antiqua" w:cs="Arial"/>
          <w:iCs/>
          <w:sz w:val="24"/>
          <w:szCs w:val="20"/>
          <w:lang w:val="id-ID"/>
        </w:rPr>
        <w:t xml:space="preserve">However, the status and legal position of the successor heirs are still subject to much debate from various circles, including judges. One of the judges who also gave an argument related to the position of the substitute heir was Shobirin. Judge Shobirin presented his argument in the form </w:t>
      </w:r>
      <w:r w:rsidRPr="00AD14D5">
        <w:rPr>
          <w:rFonts w:ascii="Book Antiqua" w:hAnsi="Book Antiqua" w:cs="Arial"/>
          <w:iCs/>
          <w:sz w:val="24"/>
          <w:szCs w:val="20"/>
          <w:lang w:val="id-ID"/>
        </w:rPr>
        <w:lastRenderedPageBreak/>
        <w:t>of a paper presented at the National Working Meeting of Judges of the Religious Courts in 2009.</w:t>
      </w:r>
      <w:r w:rsidRPr="00AD14D5">
        <w:rPr>
          <w:rStyle w:val="FootnoteReference"/>
          <w:rFonts w:ascii="Book Antiqua" w:hAnsi="Book Antiqua" w:cs="Arial"/>
          <w:iCs/>
          <w:sz w:val="24"/>
          <w:szCs w:val="20"/>
          <w:lang w:val="id-ID"/>
        </w:rPr>
        <w:footnoteReference w:id="19"/>
      </w:r>
    </w:p>
    <w:p w14:paraId="53692F38" w14:textId="1E44DA1F" w:rsidR="009061AC" w:rsidRPr="00AD14D5" w:rsidRDefault="00F13B40"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The right to independence and freedom is the foundation for a country in upholding the rule of law in its sovereign jurisdiction.</w:t>
      </w:r>
      <w:r w:rsidR="00C71C1B" w:rsidRPr="00AD14D5">
        <w:rPr>
          <w:rStyle w:val="FootnoteReference"/>
          <w:rFonts w:ascii="Book Antiqua" w:hAnsi="Book Antiqua" w:cs="Arial"/>
          <w:iCs/>
          <w:sz w:val="24"/>
          <w:szCs w:val="20"/>
          <w:lang w:val="id-ID"/>
        </w:rPr>
        <w:footnoteReference w:id="20"/>
      </w:r>
      <w:r w:rsidR="00E900EC">
        <w:rPr>
          <w:rFonts w:ascii="Book Antiqua" w:hAnsi="Book Antiqua" w:cs="Arial"/>
          <w:iCs/>
          <w:sz w:val="24"/>
          <w:szCs w:val="20"/>
          <w:lang w:val="id-ID"/>
        </w:rPr>
        <w:t xml:space="preserve"> </w:t>
      </w:r>
      <w:r w:rsidRPr="00AD14D5">
        <w:rPr>
          <w:rFonts w:ascii="Book Antiqua" w:hAnsi="Book Antiqua" w:cs="Arial"/>
          <w:iCs/>
          <w:sz w:val="24"/>
          <w:szCs w:val="20"/>
          <w:lang w:val="id-ID"/>
        </w:rPr>
        <w:t>A debate regarding the successor heirs must be thoroughly discussed as a solution to see and find out who has the right to become a substitute heir. In addition, the discourse on substitute heirs can also open up new spaces for anyone who feels they are a substitute heir.</w:t>
      </w:r>
    </w:p>
    <w:p w14:paraId="054557DB" w14:textId="0BA96F0D" w:rsidR="009061AC" w:rsidRPr="00AD14D5" w:rsidRDefault="009061AC"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In principle, substitute heirs are those who are considered substitutes in inheriting property from the testator when there are no heirs. Therefore, a substitute heir can be made, but it is not yet known what the legal position of a substitute heir is when viewed from the various regulations that govern, in particular the Civil Code and the Islamic inheritance law system. However, these two regulations only provide a general description of who can become a substitute heir, and do not explain in more detail who has the right to become a substitute heir. In addition, in some cases, several substitute experts consist of the children of the heir's children.</w:t>
      </w:r>
    </w:p>
    <w:p w14:paraId="50481E3C" w14:textId="0DA319B3" w:rsidR="009061AC" w:rsidRPr="00AD14D5" w:rsidRDefault="00007603" w:rsidP="004B3D44">
      <w:pPr>
        <w:pStyle w:val="ListParagraph"/>
        <w:spacing w:before="240" w:after="240"/>
        <w:ind w:left="0"/>
        <w:contextualSpacing w:val="0"/>
        <w:jc w:val="both"/>
        <w:rPr>
          <w:rFonts w:ascii="Book Antiqua" w:hAnsi="Book Antiqua" w:cs="Arial"/>
          <w:iCs/>
          <w:sz w:val="24"/>
          <w:szCs w:val="20"/>
          <w:lang w:val="id-ID"/>
        </w:rPr>
      </w:pPr>
      <w:r>
        <w:rPr>
          <w:rFonts w:ascii="Book Antiqua" w:hAnsi="Book Antiqua" w:cs="Arial"/>
          <w:iCs/>
          <w:sz w:val="24"/>
          <w:szCs w:val="20"/>
          <w:lang w:val="id-ID"/>
        </w:rPr>
        <w:t>ILC</w:t>
      </w:r>
      <w:r w:rsidR="009061AC" w:rsidRPr="00AD14D5">
        <w:rPr>
          <w:rFonts w:ascii="Book Antiqua" w:hAnsi="Book Antiqua" w:cs="Arial"/>
          <w:iCs/>
          <w:sz w:val="24"/>
          <w:szCs w:val="20"/>
          <w:lang w:val="id-ID"/>
        </w:rPr>
        <w:t xml:space="preserve"> is a law that is intended to regulate the life of indigenous people who are Muslim. Because Islam cannot be separated from the long history of this nation. Therefore, it is necessary to have a kind of constitutionalization of </w:t>
      </w:r>
      <w:r>
        <w:rPr>
          <w:rFonts w:ascii="Book Antiqua" w:hAnsi="Book Antiqua" w:cs="Arial"/>
          <w:iCs/>
          <w:sz w:val="24"/>
          <w:szCs w:val="20"/>
          <w:lang w:val="id-ID"/>
        </w:rPr>
        <w:t>ILC</w:t>
      </w:r>
      <w:r w:rsidR="009061AC" w:rsidRPr="00AD14D5">
        <w:rPr>
          <w:rFonts w:ascii="Book Antiqua" w:hAnsi="Book Antiqua" w:cs="Arial"/>
          <w:iCs/>
          <w:sz w:val="24"/>
          <w:szCs w:val="20"/>
          <w:lang w:val="id-ID"/>
        </w:rPr>
        <w:t xml:space="preserve"> for Muslims in this country.</w:t>
      </w:r>
      <w:r w:rsidR="007C23B7" w:rsidRPr="00AD14D5">
        <w:rPr>
          <w:rStyle w:val="FootnoteReference"/>
          <w:rFonts w:ascii="Book Antiqua" w:hAnsi="Book Antiqua" w:cs="Arial"/>
          <w:iCs/>
          <w:sz w:val="24"/>
          <w:szCs w:val="20"/>
          <w:lang w:val="id-ID"/>
        </w:rPr>
        <w:footnoteReference w:id="21"/>
      </w:r>
      <w:r w:rsidR="00E900EC">
        <w:rPr>
          <w:rFonts w:ascii="Book Antiqua" w:hAnsi="Book Antiqua" w:cs="Arial"/>
          <w:iCs/>
          <w:sz w:val="24"/>
          <w:szCs w:val="20"/>
          <w:lang w:val="id-ID"/>
        </w:rPr>
        <w:t xml:space="preserve"> </w:t>
      </w:r>
      <w:r w:rsidR="00782DC5" w:rsidRPr="00AD14D5">
        <w:rPr>
          <w:rFonts w:ascii="Book Antiqua" w:hAnsi="Book Antiqua" w:cs="Arial"/>
          <w:iCs/>
          <w:sz w:val="24"/>
          <w:szCs w:val="20"/>
          <w:lang w:val="id-ID"/>
        </w:rPr>
        <w:t xml:space="preserve">As a formulation of legal norms, </w:t>
      </w:r>
      <w:r>
        <w:rPr>
          <w:rFonts w:ascii="Book Antiqua" w:hAnsi="Book Antiqua" w:cs="Arial"/>
          <w:iCs/>
          <w:sz w:val="24"/>
          <w:szCs w:val="20"/>
          <w:lang w:val="id-ID"/>
        </w:rPr>
        <w:t>ILC</w:t>
      </w:r>
      <w:r w:rsidR="00782DC5" w:rsidRPr="00AD14D5">
        <w:rPr>
          <w:rFonts w:ascii="Book Antiqua" w:hAnsi="Book Antiqua" w:cs="Arial"/>
          <w:iCs/>
          <w:sz w:val="24"/>
          <w:szCs w:val="20"/>
          <w:lang w:val="id-ID"/>
        </w:rPr>
        <w:t xml:space="preserve"> is supposed to regulate and determine how Muslims live their lives, including who becomes the heirs and substitute heirs.</w:t>
      </w:r>
    </w:p>
    <w:p w14:paraId="79BCCE0B" w14:textId="2A1F3E65" w:rsidR="007C23B7" w:rsidRPr="00AD14D5" w:rsidRDefault="007C23B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The Gorontalo City Religious Court (hereinafter abbreviated as PA Gorontalo) is one type of judicial institution that has also been recorded to handle inheritance cases several times, especially those relating to substitute heirs </w:t>
      </w:r>
      <w:r w:rsidR="00766E78">
        <w:rPr>
          <w:rFonts w:ascii="Book Antiqua" w:hAnsi="Book Antiqua" w:cs="Arial"/>
          <w:iCs/>
          <w:sz w:val="24"/>
          <w:szCs w:val="20"/>
          <w:lang w:val="id-ID"/>
        </w:rPr>
        <w:t>by</w:t>
      </w:r>
      <w:r w:rsidRPr="00AD14D5">
        <w:rPr>
          <w:rFonts w:ascii="Book Antiqua" w:hAnsi="Book Antiqua" w:cs="Arial"/>
          <w:iCs/>
          <w:sz w:val="24"/>
          <w:szCs w:val="20"/>
          <w:lang w:val="id-ID"/>
        </w:rPr>
        <w:t xml:space="preserve"> their jurisdiction. According to the results of monitoring the directory system of </w:t>
      </w:r>
      <w:r w:rsidRPr="00AD14D5">
        <w:rPr>
          <w:rFonts w:ascii="Book Antiqua" w:hAnsi="Book Antiqua" w:cs="Arial"/>
          <w:iCs/>
          <w:sz w:val="24"/>
          <w:szCs w:val="20"/>
          <w:lang w:val="id-ID"/>
        </w:rPr>
        <w:lastRenderedPageBreak/>
        <w:t xml:space="preserve">judicial institution decisions under the Supreme Court, Gorontalo PA has decided cases related to substitute heirs </w:t>
      </w:r>
      <w:r w:rsidR="00766E78">
        <w:rPr>
          <w:rFonts w:ascii="Book Antiqua" w:hAnsi="Book Antiqua" w:cs="Arial"/>
          <w:iCs/>
          <w:sz w:val="24"/>
          <w:szCs w:val="20"/>
          <w:lang w:val="id-ID"/>
        </w:rPr>
        <w:t xml:space="preserve">in </w:t>
      </w:r>
      <w:r w:rsidRPr="00AD14D5">
        <w:rPr>
          <w:rFonts w:ascii="Book Antiqua" w:hAnsi="Book Antiqua" w:cs="Arial"/>
          <w:iCs/>
          <w:sz w:val="24"/>
          <w:szCs w:val="20"/>
          <w:lang w:val="id-ID"/>
        </w:rPr>
        <w:t>as many as 12 (twelve) cases.</w:t>
      </w:r>
      <w:r w:rsidRPr="00AD14D5">
        <w:rPr>
          <w:rStyle w:val="FootnoteReference"/>
          <w:rFonts w:ascii="Book Antiqua" w:hAnsi="Book Antiqua" w:cs="Arial"/>
          <w:iCs/>
          <w:sz w:val="24"/>
          <w:szCs w:val="20"/>
          <w:lang w:val="id-ID"/>
        </w:rPr>
        <w:footnoteReference w:id="22"/>
      </w:r>
    </w:p>
    <w:p w14:paraId="5B396B90" w14:textId="43C3781B" w:rsidR="007C23B7" w:rsidRPr="00AD14D5" w:rsidRDefault="007C23B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One of the decisions related to the application for replacement heirs to PA Gorontalo is case number: 132/Pdt.P/2019/PA.</w:t>
      </w:r>
      <w:r w:rsidR="00766E78">
        <w:rPr>
          <w:rFonts w:ascii="Book Antiqua" w:hAnsi="Book Antiqua" w:cs="Arial"/>
          <w:iCs/>
          <w:sz w:val="24"/>
          <w:szCs w:val="20"/>
          <w:lang w:val="id-ID"/>
        </w:rPr>
        <w:t xml:space="preserve"> </w:t>
      </w:r>
      <w:r w:rsidRPr="00AD14D5">
        <w:rPr>
          <w:rFonts w:ascii="Book Antiqua" w:hAnsi="Book Antiqua" w:cs="Arial"/>
          <w:iCs/>
          <w:sz w:val="24"/>
          <w:szCs w:val="20"/>
          <w:lang w:val="id-ID"/>
        </w:rPr>
        <w:t>Gtlo. Where the case is that the parties (applicants) request in their petition to the panel of judges at the Gorontalo PA to make several names (people) to be made/determined as substitute heirs.</w:t>
      </w:r>
      <w:r w:rsidRPr="00AD14D5">
        <w:rPr>
          <w:rStyle w:val="FootnoteReference"/>
          <w:rFonts w:ascii="Book Antiqua" w:hAnsi="Book Antiqua" w:cs="Arial"/>
          <w:iCs/>
          <w:sz w:val="24"/>
          <w:szCs w:val="20"/>
          <w:lang w:val="id-ID"/>
        </w:rPr>
        <w:footnoteReference w:id="23"/>
      </w:r>
      <w:r w:rsidR="00E900EC">
        <w:rPr>
          <w:rFonts w:ascii="Book Antiqua" w:hAnsi="Book Antiqua" w:cs="Arial"/>
          <w:iCs/>
          <w:sz w:val="24"/>
          <w:szCs w:val="20"/>
          <w:lang w:val="id-ID"/>
        </w:rPr>
        <w:t xml:space="preserve"> </w:t>
      </w:r>
      <w:r w:rsidRPr="00AD14D5">
        <w:rPr>
          <w:rFonts w:ascii="Book Antiqua" w:hAnsi="Book Antiqua" w:cs="Arial"/>
          <w:iCs/>
          <w:sz w:val="24"/>
          <w:szCs w:val="20"/>
          <w:lang w:val="id-ID"/>
        </w:rPr>
        <w:t xml:space="preserve">However, in their decision, the panel of judges stated that the case was unacceptable </w:t>
      </w:r>
      <w:r w:rsidRPr="00AD14D5">
        <w:rPr>
          <w:rFonts w:ascii="Book Antiqua" w:hAnsi="Book Antiqua" w:cs="Arial"/>
          <w:i/>
          <w:sz w:val="24"/>
          <w:szCs w:val="20"/>
          <w:lang w:val="id-ID"/>
        </w:rPr>
        <w:t xml:space="preserve">(Niet Ontvankelijke Verklaard). </w:t>
      </w:r>
      <w:r w:rsidR="00766E78">
        <w:rPr>
          <w:rStyle w:val="FootnoteReference"/>
          <w:rFonts w:ascii="Book Antiqua" w:hAnsi="Book Antiqua" w:cs="Arial"/>
          <w:iCs/>
          <w:sz w:val="24"/>
          <w:szCs w:val="20"/>
          <w:lang w:val="id-ID"/>
        </w:rPr>
        <w:t>When</w:t>
      </w:r>
      <w:r w:rsidRPr="00AD14D5">
        <w:rPr>
          <w:rFonts w:ascii="Book Antiqua" w:hAnsi="Book Antiqua" w:cs="Arial"/>
          <w:iCs/>
          <w:sz w:val="24"/>
          <w:szCs w:val="20"/>
          <w:lang w:val="id-ID"/>
        </w:rPr>
        <w:t xml:space="preserve"> referring to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w:t>
      </w:r>
      <w:r w:rsidR="00766E78">
        <w:rPr>
          <w:rFonts w:ascii="Book Antiqua" w:hAnsi="Book Antiqua" w:cs="Arial"/>
          <w:iCs/>
          <w:sz w:val="24"/>
          <w:szCs w:val="20"/>
          <w:lang w:val="id-ID"/>
        </w:rPr>
        <w:t>some provisions stipulate</w:t>
      </w:r>
      <w:r w:rsidRPr="00AD14D5">
        <w:rPr>
          <w:rFonts w:ascii="Book Antiqua" w:hAnsi="Book Antiqua" w:cs="Arial"/>
          <w:iCs/>
          <w:sz w:val="24"/>
          <w:szCs w:val="20"/>
          <w:lang w:val="id-ID"/>
        </w:rPr>
        <w:t xml:space="preserve"> that replacement heirs are allowed under certain conditions. According to the provisions in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people who can become heirs are as follows:</w:t>
      </w:r>
      <w:r w:rsidR="000B25D0" w:rsidRPr="00AD14D5">
        <w:rPr>
          <w:rStyle w:val="FootnoteReference"/>
          <w:rFonts w:ascii="Book Antiqua" w:hAnsi="Book Antiqua" w:cs="Arial"/>
          <w:iCs/>
          <w:sz w:val="24"/>
          <w:szCs w:val="20"/>
          <w:lang w:val="id-ID"/>
        </w:rPr>
        <w:footnoteReference w:id="24"/>
      </w:r>
    </w:p>
    <w:p w14:paraId="44E05EFC" w14:textId="3ECD0A7B" w:rsidR="007C23B7" w:rsidRPr="00AD14D5" w:rsidRDefault="007C23B7" w:rsidP="004B3D44">
      <w:pPr>
        <w:pStyle w:val="ListParagraph"/>
        <w:numPr>
          <w:ilvl w:val="0"/>
          <w:numId w:val="9"/>
        </w:numPr>
        <w:spacing w:before="240" w:after="24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An heir who has died first, then his position can be replaced by his child, except those mentioned in Article 173 </w:t>
      </w:r>
      <w:r w:rsidR="00007603">
        <w:rPr>
          <w:rFonts w:ascii="Book Antiqua" w:hAnsi="Book Antiqua" w:cs="Arial"/>
          <w:iCs/>
          <w:sz w:val="24"/>
          <w:szCs w:val="20"/>
          <w:lang w:val="id-ID"/>
        </w:rPr>
        <w:t>ILC</w:t>
      </w:r>
      <w:r w:rsidRPr="00AD14D5">
        <w:rPr>
          <w:rFonts w:ascii="Book Antiqua" w:hAnsi="Book Antiqua" w:cs="Arial"/>
          <w:iCs/>
          <w:sz w:val="24"/>
          <w:szCs w:val="20"/>
          <w:lang w:val="id-ID"/>
        </w:rPr>
        <w:t>.</w:t>
      </w:r>
    </w:p>
    <w:p w14:paraId="6EA8C40F" w14:textId="77777777" w:rsidR="007C23B7" w:rsidRPr="00AD14D5" w:rsidRDefault="007C23B7" w:rsidP="004B3D44">
      <w:pPr>
        <w:pStyle w:val="ListParagraph"/>
        <w:numPr>
          <w:ilvl w:val="0"/>
          <w:numId w:val="9"/>
        </w:numPr>
        <w:spacing w:before="240" w:after="24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The share that will be obtained by the successor heirs must not exceed that of an equal heir.</w:t>
      </w:r>
    </w:p>
    <w:p w14:paraId="5B765D79" w14:textId="366F6D95" w:rsidR="00782DC5" w:rsidRPr="00AD14D5" w:rsidRDefault="007C23B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If it refers to the case or what is argued by the applicants, the potential successor heirs are the children of the heirs. The heirs mentioned in the decision are the siblings of the heir. </w:t>
      </w:r>
      <w:r w:rsidR="000B25D0" w:rsidRPr="00AD14D5">
        <w:rPr>
          <w:rStyle w:val="FootnoteReference"/>
          <w:rFonts w:ascii="Book Antiqua" w:hAnsi="Book Antiqua" w:cs="Arial"/>
          <w:iCs/>
          <w:sz w:val="24"/>
          <w:szCs w:val="20"/>
          <w:lang w:val="id-ID"/>
        </w:rPr>
        <w:footnoteReference w:id="25"/>
      </w:r>
      <w:r w:rsidR="000B25D0" w:rsidRPr="00AD14D5">
        <w:rPr>
          <w:rFonts w:ascii="Book Antiqua" w:hAnsi="Book Antiqua" w:cs="Arial"/>
          <w:iCs/>
          <w:sz w:val="24"/>
          <w:szCs w:val="20"/>
          <w:lang w:val="id-ID"/>
        </w:rPr>
        <w:t xml:space="preserve">However, in the case described in the decision, some of the successor heirs are said to have died. </w:t>
      </w:r>
      <w:r w:rsidR="000B25D0" w:rsidRPr="00AD14D5">
        <w:rPr>
          <w:rStyle w:val="FootnoteReference"/>
          <w:rFonts w:ascii="Book Antiqua" w:hAnsi="Book Antiqua" w:cs="Arial"/>
          <w:iCs/>
          <w:sz w:val="24"/>
          <w:szCs w:val="20"/>
          <w:lang w:val="id-ID"/>
        </w:rPr>
        <w:footnoteReference w:id="26"/>
      </w:r>
      <w:r w:rsidR="00782DC5" w:rsidRPr="00AD14D5">
        <w:rPr>
          <w:rFonts w:ascii="Book Antiqua" w:hAnsi="Book Antiqua" w:cs="Arial"/>
          <w:iCs/>
          <w:sz w:val="24"/>
          <w:szCs w:val="20"/>
          <w:lang w:val="id-ID"/>
        </w:rPr>
        <w:t xml:space="preserve">Nevertheless, the rights and positions of the potential substitute heirs remain because they have been determined in Article 185 of the </w:t>
      </w:r>
      <w:r w:rsidR="00007603">
        <w:rPr>
          <w:rFonts w:ascii="Book Antiqua" w:hAnsi="Book Antiqua" w:cs="Arial"/>
          <w:iCs/>
          <w:sz w:val="24"/>
          <w:szCs w:val="20"/>
          <w:lang w:val="id-ID"/>
        </w:rPr>
        <w:t>ILC</w:t>
      </w:r>
      <w:r w:rsidR="00782DC5" w:rsidRPr="00AD14D5">
        <w:rPr>
          <w:rFonts w:ascii="Book Antiqua" w:hAnsi="Book Antiqua" w:cs="Arial"/>
          <w:iCs/>
          <w:sz w:val="24"/>
          <w:szCs w:val="20"/>
          <w:lang w:val="id-ID"/>
        </w:rPr>
        <w:t xml:space="preserve">. The above is also in line with the research conducted by Sarah Humairah, where in her study she stated that the substitute heirs as meant in Article 185 paragraph (1 ) </w:t>
      </w:r>
      <w:r w:rsidR="00007603">
        <w:rPr>
          <w:rFonts w:ascii="Book Antiqua" w:hAnsi="Book Antiqua" w:cs="Arial"/>
          <w:iCs/>
          <w:sz w:val="24"/>
          <w:szCs w:val="20"/>
          <w:lang w:val="id-ID"/>
        </w:rPr>
        <w:t>ILC</w:t>
      </w:r>
      <w:r w:rsidR="00782DC5" w:rsidRPr="00AD14D5">
        <w:rPr>
          <w:rFonts w:ascii="Book Antiqua" w:hAnsi="Book Antiqua" w:cs="Arial"/>
          <w:iCs/>
          <w:sz w:val="24"/>
          <w:szCs w:val="20"/>
          <w:lang w:val="id-ID"/>
        </w:rPr>
        <w:t>, are those (grandchildren) who are in the third degree to replace the position of their parents.</w:t>
      </w:r>
      <w:r w:rsidR="00782DC5" w:rsidRPr="00AD14D5">
        <w:rPr>
          <w:rStyle w:val="FootnoteReference"/>
          <w:rFonts w:ascii="Book Antiqua" w:hAnsi="Book Antiqua" w:cs="Arial"/>
          <w:iCs/>
          <w:sz w:val="24"/>
          <w:szCs w:val="20"/>
          <w:lang w:val="id-ID"/>
        </w:rPr>
        <w:footnoteReference w:id="27"/>
      </w:r>
    </w:p>
    <w:p w14:paraId="66ECC5B1" w14:textId="77777777" w:rsidR="007C23B7" w:rsidRPr="00AD14D5" w:rsidRDefault="007C23B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As for the decision that was declared unacceptable or Niet Ontvankelijke Verklaard, this refers to the Jurisprudence of the Supreme Court of the Republic of Indonesia No. 1149/K/Sip/1979, that for an object of dispute that is still unclear, the object of the lawsuit or application is deemed unacceptable by the </w:t>
      </w:r>
      <w:r w:rsidRPr="00AD14D5">
        <w:rPr>
          <w:rFonts w:ascii="Book Antiqua" w:hAnsi="Book Antiqua" w:cs="Arial"/>
          <w:iCs/>
          <w:sz w:val="24"/>
          <w:szCs w:val="20"/>
          <w:lang w:val="id-ID"/>
        </w:rPr>
        <w:lastRenderedPageBreak/>
        <w:t>panel of judges. However, in a decision that has permanent legal force as the results of the initial analysis, the researcher finds that the problem is quite clear.</w:t>
      </w:r>
    </w:p>
    <w:p w14:paraId="2469163B" w14:textId="77EA1FDF" w:rsidR="007C23B7" w:rsidRPr="00AD14D5" w:rsidRDefault="007C23B7"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 xml:space="preserve">In its decision, the panel of judges decided </w:t>
      </w:r>
      <w:r w:rsidR="00766E78">
        <w:rPr>
          <w:rFonts w:ascii="Book Antiqua" w:hAnsi="Book Antiqua" w:cs="Arial"/>
          <w:iCs/>
          <w:sz w:val="24"/>
          <w:szCs w:val="20"/>
          <w:lang w:val="id-ID"/>
        </w:rPr>
        <w:t xml:space="preserve">on </w:t>
      </w:r>
      <w:r w:rsidRPr="00AD14D5">
        <w:rPr>
          <w:rFonts w:ascii="Book Antiqua" w:hAnsi="Book Antiqua" w:cs="Arial"/>
          <w:iCs/>
          <w:sz w:val="24"/>
          <w:szCs w:val="20"/>
          <w:lang w:val="id-ID"/>
        </w:rPr>
        <w:t xml:space="preserve">the case with </w:t>
      </w:r>
      <w:r w:rsidR="00766E78">
        <w:rPr>
          <w:rFonts w:ascii="Book Antiqua" w:hAnsi="Book Antiqua" w:cs="Arial"/>
          <w:iCs/>
          <w:sz w:val="24"/>
          <w:szCs w:val="20"/>
          <w:lang w:val="id-ID"/>
        </w:rPr>
        <w:t xml:space="preserve">the </w:t>
      </w:r>
      <w:r w:rsidRPr="00AD14D5">
        <w:rPr>
          <w:rFonts w:ascii="Book Antiqua" w:hAnsi="Book Antiqua" w:cs="Arial"/>
          <w:iCs/>
          <w:sz w:val="24"/>
          <w:szCs w:val="20"/>
          <w:lang w:val="id-ID"/>
        </w:rPr>
        <w:t>number: 132/Pdt.P/2019/PA.</w:t>
      </w:r>
      <w:r w:rsidR="00766E78">
        <w:rPr>
          <w:rFonts w:ascii="Book Antiqua" w:hAnsi="Book Antiqua" w:cs="Arial"/>
          <w:iCs/>
          <w:sz w:val="24"/>
          <w:szCs w:val="20"/>
          <w:lang w:val="id-ID"/>
        </w:rPr>
        <w:t xml:space="preserve"> </w:t>
      </w:r>
      <w:r w:rsidRPr="00AD14D5">
        <w:rPr>
          <w:rFonts w:ascii="Book Antiqua" w:hAnsi="Book Antiqua" w:cs="Arial"/>
          <w:iCs/>
          <w:sz w:val="24"/>
          <w:szCs w:val="20"/>
          <w:lang w:val="id-ID"/>
        </w:rPr>
        <w:t xml:space="preserve">Gtlo, the panel of judges argued that there were 2 (two) questions that arose in the decision, including whether it was true that the replacement heir as requested was entitled and proper. to accept and become a substitute heir. This of course leaves the question </w:t>
      </w:r>
      <w:r w:rsidR="00766E78">
        <w:rPr>
          <w:rFonts w:ascii="Book Antiqua" w:hAnsi="Book Antiqua" w:cs="Arial"/>
          <w:iCs/>
          <w:sz w:val="24"/>
          <w:szCs w:val="20"/>
          <w:lang w:val="id-ID"/>
        </w:rPr>
        <w:t>of</w:t>
      </w:r>
      <w:r w:rsidRPr="00AD14D5">
        <w:rPr>
          <w:rFonts w:ascii="Book Antiqua" w:hAnsi="Book Antiqua" w:cs="Arial"/>
          <w:iCs/>
          <w:sz w:val="24"/>
          <w:szCs w:val="20"/>
          <w:lang w:val="id-ID"/>
        </w:rPr>
        <w:t xml:space="preserve"> the basis for the petition filed by the applicant related to the replacement heirs, and what is the basis for the judge's consideration to declare that he cannot accept the application in question.</w:t>
      </w:r>
    </w:p>
    <w:p w14:paraId="6E86A3BB" w14:textId="029D2C48" w:rsidR="000B25D0" w:rsidRPr="00AD14D5" w:rsidRDefault="000B25D0"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In addition to the cases above, in 2018 there was also the same case, namely case number 0271/Pdt.P/2018/PA.</w:t>
      </w:r>
      <w:r w:rsidR="00766E78">
        <w:rPr>
          <w:rFonts w:ascii="Book Antiqua" w:hAnsi="Book Antiqua" w:cs="Arial"/>
          <w:iCs/>
          <w:sz w:val="24"/>
          <w:szCs w:val="20"/>
          <w:lang w:val="id-ID"/>
        </w:rPr>
        <w:t xml:space="preserve"> </w:t>
      </w:r>
      <w:r w:rsidRPr="00AD14D5">
        <w:rPr>
          <w:rFonts w:ascii="Book Antiqua" w:hAnsi="Book Antiqua" w:cs="Arial"/>
          <w:iCs/>
          <w:sz w:val="24"/>
          <w:szCs w:val="20"/>
          <w:lang w:val="id-ID"/>
        </w:rPr>
        <w:t xml:space="preserve">Gtlo, where the applicant submitted in his case that 3 (three) people were to be determined by the panel of judges at PA Gorontalo. In its decision/determination, the panel of judges then determined that several of them, the 3 people who were proposed as substitute heirs, had been determined by the panel of judges as substitute heirs. </w:t>
      </w:r>
      <w:r w:rsidRPr="00AD14D5">
        <w:rPr>
          <w:rStyle w:val="FootnoteReference"/>
          <w:rFonts w:ascii="Book Antiqua" w:hAnsi="Book Antiqua" w:cs="Arial"/>
          <w:iCs/>
          <w:sz w:val="24"/>
          <w:szCs w:val="20"/>
          <w:lang w:val="id-ID"/>
        </w:rPr>
        <w:footnoteReference w:id="28"/>
      </w:r>
      <w:r w:rsidR="009152C9" w:rsidRPr="00AD14D5">
        <w:rPr>
          <w:rFonts w:ascii="Book Antiqua" w:hAnsi="Book Antiqua" w:cs="Arial"/>
          <w:iCs/>
          <w:sz w:val="24"/>
          <w:szCs w:val="20"/>
          <w:lang w:val="id-ID"/>
        </w:rPr>
        <w:t xml:space="preserve">In this case, the panel of judges in their decision/stipulation refers to the existence of a peace agreement between the two parties. In addition, the basis for the decision or determination of the judge in the case is also </w:t>
      </w:r>
      <w:r w:rsidR="00766E78">
        <w:rPr>
          <w:rFonts w:ascii="Book Antiqua" w:hAnsi="Book Antiqua" w:cs="Arial"/>
          <w:iCs/>
          <w:sz w:val="24"/>
          <w:szCs w:val="20"/>
          <w:lang w:val="id-ID"/>
        </w:rPr>
        <w:t>by</w:t>
      </w:r>
      <w:r w:rsidR="009152C9" w:rsidRPr="00AD14D5">
        <w:rPr>
          <w:rFonts w:ascii="Book Antiqua" w:hAnsi="Book Antiqua" w:cs="Arial"/>
          <w:iCs/>
          <w:sz w:val="24"/>
          <w:szCs w:val="20"/>
          <w:lang w:val="id-ID"/>
        </w:rPr>
        <w:t xml:space="preserve"> what has been regulated in the </w:t>
      </w:r>
      <w:r w:rsidR="00007603">
        <w:rPr>
          <w:rFonts w:ascii="Book Antiqua" w:hAnsi="Book Antiqua" w:cs="Arial"/>
          <w:iCs/>
          <w:sz w:val="24"/>
          <w:szCs w:val="20"/>
          <w:lang w:val="id-ID"/>
        </w:rPr>
        <w:t>ILC</w:t>
      </w:r>
      <w:r w:rsidR="009152C9" w:rsidRPr="00AD14D5">
        <w:rPr>
          <w:rFonts w:ascii="Book Antiqua" w:hAnsi="Book Antiqua" w:cs="Arial"/>
          <w:iCs/>
          <w:sz w:val="24"/>
          <w:szCs w:val="20"/>
          <w:lang w:val="id-ID"/>
        </w:rPr>
        <w:t>. The case differs in the results of the judge's determination when compared to case No. 132/Pdt. P/2019/PA.Gtlo.</w:t>
      </w:r>
    </w:p>
    <w:p w14:paraId="3E443605" w14:textId="600975AB" w:rsidR="000B25D0" w:rsidRPr="00AD14D5" w:rsidRDefault="000B25D0" w:rsidP="004B3D44">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t>In another case, there is also a similar case, namely case No. 0266 Pdt.P/2018/PA.</w:t>
      </w:r>
      <w:r w:rsidR="00766E78">
        <w:rPr>
          <w:rFonts w:ascii="Book Antiqua" w:hAnsi="Book Antiqua" w:cs="Arial"/>
          <w:iCs/>
          <w:sz w:val="24"/>
          <w:szCs w:val="20"/>
          <w:lang w:val="id-ID"/>
        </w:rPr>
        <w:t xml:space="preserve"> </w:t>
      </w:r>
      <w:r w:rsidRPr="00AD14D5">
        <w:rPr>
          <w:rFonts w:ascii="Book Antiqua" w:hAnsi="Book Antiqua" w:cs="Arial"/>
          <w:iCs/>
          <w:sz w:val="24"/>
          <w:szCs w:val="20"/>
          <w:lang w:val="id-ID"/>
        </w:rPr>
        <w:t xml:space="preserve">Gtlo. In the decision on the case, the panel of judges at the Gorontalo PA granted and decided that one of the people in the application submitted by the applicant was designated as a substitute heir. </w:t>
      </w:r>
      <w:r w:rsidR="00766E78">
        <w:rPr>
          <w:rFonts w:ascii="Book Antiqua" w:hAnsi="Book Antiqua" w:cs="Arial"/>
          <w:iCs/>
          <w:sz w:val="24"/>
          <w:szCs w:val="20"/>
          <w:lang w:val="id-ID"/>
        </w:rPr>
        <w:t>Based on</w:t>
      </w:r>
      <w:r w:rsidRPr="00AD14D5">
        <w:rPr>
          <w:rFonts w:ascii="Book Antiqua" w:hAnsi="Book Antiqua" w:cs="Arial"/>
          <w:iCs/>
          <w:sz w:val="24"/>
          <w:szCs w:val="20"/>
          <w:lang w:val="id-ID"/>
        </w:rPr>
        <w:t xml:space="preserve"> the judge's consideration, the panel of judges has complied with what according to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and other laws. In addition, in this case, the decision determined by the panel of judges was </w:t>
      </w:r>
      <w:r w:rsidR="00766E78">
        <w:rPr>
          <w:rFonts w:ascii="Book Antiqua" w:hAnsi="Book Antiqua" w:cs="Arial"/>
          <w:iCs/>
          <w:sz w:val="24"/>
          <w:szCs w:val="20"/>
          <w:lang w:val="id-ID"/>
        </w:rPr>
        <w:t>by</w:t>
      </w:r>
      <w:r w:rsidRPr="00AD14D5">
        <w:rPr>
          <w:rFonts w:ascii="Book Antiqua" w:hAnsi="Book Antiqua" w:cs="Arial"/>
          <w:iCs/>
          <w:sz w:val="24"/>
          <w:szCs w:val="20"/>
          <w:lang w:val="id-ID"/>
        </w:rPr>
        <w:t xml:space="preserve"> the formulation of norms in Article 185 of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According to the provisions of Article 185 of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a person may be appointed as a substitute heir to replace an heir who was previously deemed to have died to become an heir due to certain reasons. In addition, the provisions regarding replacement heirs as formulated in the </w:t>
      </w:r>
      <w:r w:rsidR="00007603">
        <w:rPr>
          <w:rFonts w:ascii="Book Antiqua" w:hAnsi="Book Antiqua" w:cs="Arial"/>
          <w:iCs/>
          <w:sz w:val="24"/>
          <w:szCs w:val="20"/>
          <w:lang w:val="id-ID"/>
        </w:rPr>
        <w:t>ILC</w:t>
      </w:r>
      <w:r w:rsidRPr="00AD14D5">
        <w:rPr>
          <w:rFonts w:ascii="Book Antiqua" w:hAnsi="Book Antiqua" w:cs="Arial"/>
          <w:iCs/>
          <w:sz w:val="24"/>
          <w:szCs w:val="20"/>
          <w:lang w:val="id-ID"/>
        </w:rPr>
        <w:t xml:space="preserve"> are clear that the heirs who previously had to die to be replaced by substitute heirs who are children of the heirs.</w:t>
      </w:r>
    </w:p>
    <w:p w14:paraId="2BCD0206" w14:textId="5F4F1D3C" w:rsidR="004F0EAE" w:rsidRPr="00CC67D7" w:rsidRDefault="000B25D0" w:rsidP="00CC67D7">
      <w:pPr>
        <w:pStyle w:val="ListParagraph"/>
        <w:spacing w:before="240" w:after="240"/>
        <w:ind w:left="0"/>
        <w:contextualSpacing w:val="0"/>
        <w:jc w:val="both"/>
        <w:rPr>
          <w:rFonts w:ascii="Book Antiqua" w:hAnsi="Book Antiqua" w:cs="Arial"/>
          <w:iCs/>
          <w:sz w:val="24"/>
          <w:szCs w:val="20"/>
          <w:lang w:val="id-ID"/>
        </w:rPr>
      </w:pPr>
      <w:r w:rsidRPr="00AD14D5">
        <w:rPr>
          <w:rFonts w:ascii="Book Antiqua" w:hAnsi="Book Antiqua" w:cs="Arial"/>
          <w:iCs/>
          <w:sz w:val="24"/>
          <w:szCs w:val="20"/>
          <w:lang w:val="id-ID"/>
        </w:rPr>
        <w:lastRenderedPageBreak/>
        <w:t xml:space="preserve">The principle is that as long as there are legal provisions governing the right to inheritance, then a person may inherit an inheritance </w:t>
      </w:r>
      <w:r w:rsidR="00766E78">
        <w:rPr>
          <w:rFonts w:ascii="Book Antiqua" w:hAnsi="Book Antiqua" w:cs="Arial"/>
          <w:iCs/>
          <w:sz w:val="24"/>
          <w:szCs w:val="20"/>
          <w:lang w:val="id-ID"/>
        </w:rPr>
        <w:t>that</w:t>
      </w:r>
      <w:r w:rsidRPr="00AD14D5">
        <w:rPr>
          <w:rFonts w:ascii="Book Antiqua" w:hAnsi="Book Antiqua" w:cs="Arial"/>
          <w:iCs/>
          <w:sz w:val="24"/>
          <w:szCs w:val="20"/>
          <w:lang w:val="id-ID"/>
        </w:rPr>
        <w:t xml:space="preserve"> according to law is permissible to inherit. There is even one research conducted by Sugiri Permana, </w:t>
      </w:r>
      <w:r w:rsidR="006949B8">
        <w:rPr>
          <w:rFonts w:ascii="Book Antiqua" w:hAnsi="Book Antiqua" w:cs="Arial"/>
          <w:iCs/>
          <w:sz w:val="24"/>
          <w:szCs w:val="20"/>
          <w:lang w:val="id-ID"/>
        </w:rPr>
        <w:t>where</w:t>
      </w:r>
      <w:r w:rsidRPr="00AD14D5">
        <w:rPr>
          <w:rFonts w:ascii="Book Antiqua" w:hAnsi="Book Antiqua" w:cs="Arial"/>
          <w:iCs/>
          <w:sz w:val="24"/>
          <w:szCs w:val="20"/>
          <w:lang w:val="id-ID"/>
        </w:rPr>
        <w:t xml:space="preserve"> in the conclusion of his research, he states that men and women have the same rights and positions individually.</w:t>
      </w:r>
      <w:r w:rsidRPr="00AD14D5">
        <w:rPr>
          <w:rStyle w:val="FootnoteReference"/>
          <w:rFonts w:ascii="Book Antiqua" w:hAnsi="Book Antiqua" w:cs="Arial"/>
          <w:iCs/>
          <w:sz w:val="24"/>
          <w:szCs w:val="20"/>
          <w:lang w:val="id-ID"/>
        </w:rPr>
        <w:footnoteReference w:id="29"/>
      </w:r>
    </w:p>
    <w:p w14:paraId="72D3614A" w14:textId="77777777" w:rsidR="00782DC5" w:rsidRPr="00AD14D5" w:rsidRDefault="004F0EAE" w:rsidP="00782DC5">
      <w:pPr>
        <w:pStyle w:val="ListParagraph"/>
        <w:numPr>
          <w:ilvl w:val="0"/>
          <w:numId w:val="7"/>
        </w:numPr>
        <w:spacing w:after="0" w:line="240" w:lineRule="auto"/>
        <w:ind w:left="426" w:hanging="426"/>
        <w:rPr>
          <w:rFonts w:ascii="Book Antiqua" w:hAnsi="Book Antiqua" w:cs="Arial"/>
          <w:i/>
          <w:color w:val="C00000"/>
          <w:szCs w:val="18"/>
        </w:rPr>
      </w:pPr>
      <w:r w:rsidRPr="00AD14D5">
        <w:rPr>
          <w:rFonts w:ascii="Book Antiqua" w:hAnsi="Book Antiqua" w:cs="Cambria"/>
          <w:b/>
          <w:color w:val="C00000"/>
          <w:sz w:val="28"/>
          <w:szCs w:val="24"/>
        </w:rPr>
        <w:t>Method</w:t>
      </w:r>
    </w:p>
    <w:p w14:paraId="57FB9D3D" w14:textId="00904DDF" w:rsidR="004B3D44" w:rsidRPr="00AD14D5" w:rsidRDefault="004F0EAE" w:rsidP="004B3D44">
      <w:pPr>
        <w:pStyle w:val="ListParagraph"/>
        <w:spacing w:before="240" w:after="240"/>
        <w:ind w:left="0"/>
        <w:contextualSpacing w:val="0"/>
        <w:jc w:val="both"/>
        <w:rPr>
          <w:rFonts w:ascii="Book Antiqua" w:hAnsi="Book Antiqua" w:cs="Cambria"/>
          <w:sz w:val="24"/>
          <w:szCs w:val="24"/>
          <w:lang w:val="id-ID"/>
        </w:rPr>
      </w:pPr>
      <w:r w:rsidRPr="00AD14D5">
        <w:rPr>
          <w:rFonts w:ascii="Book Antiqua" w:hAnsi="Book Antiqua" w:cs="Cambria"/>
          <w:sz w:val="24"/>
          <w:szCs w:val="24"/>
        </w:rPr>
        <w:t xml:space="preserve">This research uses normative-empirical legal research. This type of research will examine and analyze the law that has been written with what </w:t>
      </w:r>
      <w:r w:rsidR="00B04703" w:rsidRPr="00AD14D5">
        <w:rPr>
          <w:rFonts w:ascii="Book Antiqua" w:hAnsi="Book Antiqua" w:cs="Cambria"/>
          <w:sz w:val="24"/>
          <w:szCs w:val="24"/>
        </w:rPr>
        <w:t>is applied according to factual law or its implementation in the field.</w:t>
      </w:r>
      <w:r w:rsidR="00B04703" w:rsidRPr="00AD14D5">
        <w:rPr>
          <w:rFonts w:ascii="Book Antiqua" w:hAnsi="Book Antiqua" w:cs="Cambria"/>
          <w:sz w:val="24"/>
          <w:szCs w:val="24"/>
          <w:lang w:val="id-ID"/>
        </w:rPr>
        <w:t xml:space="preserve"> </w:t>
      </w:r>
      <w:r w:rsidR="00B04703" w:rsidRPr="00AD14D5">
        <w:rPr>
          <w:rFonts w:ascii="Book Antiqua" w:hAnsi="Book Antiqua" w:cs="Cambria"/>
          <w:sz w:val="24"/>
          <w:szCs w:val="24"/>
        </w:rPr>
        <w:t xml:space="preserve">The principle is that the normative-empirical research method will look at the application of law in society or the field. </w:t>
      </w:r>
      <w:r w:rsidR="00B04703" w:rsidRPr="00AD14D5">
        <w:rPr>
          <w:rStyle w:val="FootnoteReference"/>
          <w:rFonts w:ascii="Book Antiqua" w:hAnsi="Book Antiqua" w:cs="Cambria"/>
          <w:sz w:val="24"/>
          <w:szCs w:val="24"/>
        </w:rPr>
        <w:footnoteReference w:id="30"/>
      </w:r>
      <w:r w:rsidR="003313B9" w:rsidRPr="00AD14D5">
        <w:rPr>
          <w:rFonts w:ascii="Book Antiqua" w:hAnsi="Book Antiqua" w:cs="Cambria"/>
          <w:sz w:val="24"/>
          <w:szCs w:val="24"/>
          <w:lang w:val="id-ID"/>
        </w:rPr>
        <w:t>The type of approach used by the researcher is a conceptual approach and a statutory approach. This approach is intended to examine a norm that exists in written legal provisions (positive law). The data collection method used is by conducting observations, interviews, and documentation, as well as by using library techniques related to the issues being discussed.</w:t>
      </w:r>
      <w:r w:rsidR="003313B9" w:rsidRPr="00AD14D5">
        <w:rPr>
          <w:rFonts w:ascii="Book Antiqua" w:hAnsi="Book Antiqua"/>
        </w:rPr>
        <w:t xml:space="preserve"> </w:t>
      </w:r>
      <w:r w:rsidR="00766E78">
        <w:rPr>
          <w:rFonts w:ascii="Book Antiqua" w:hAnsi="Book Antiqua" w:cs="Cambria"/>
          <w:sz w:val="24"/>
          <w:szCs w:val="24"/>
          <w:lang w:val="id-ID"/>
        </w:rPr>
        <w:t>What</w:t>
      </w:r>
      <w:r w:rsidR="003313B9" w:rsidRPr="00AD14D5">
        <w:rPr>
          <w:rFonts w:ascii="Book Antiqua" w:hAnsi="Book Antiqua" w:cs="Cambria"/>
          <w:sz w:val="24"/>
          <w:szCs w:val="24"/>
          <w:lang w:val="id-ID"/>
        </w:rPr>
        <w:t xml:space="preserve"> is used as a method for analyzing data is by providing arguments with a perspective approach about the truth specified in the formulation of the norms of legislation, </w:t>
      </w:r>
      <w:r w:rsidR="00766E78">
        <w:rPr>
          <w:rFonts w:ascii="Book Antiqua" w:hAnsi="Book Antiqua" w:cs="Cambria"/>
          <w:sz w:val="24"/>
          <w:szCs w:val="24"/>
          <w:lang w:val="id-ID"/>
        </w:rPr>
        <w:t>about</w:t>
      </w:r>
      <w:r w:rsidR="003313B9" w:rsidRPr="00AD14D5">
        <w:rPr>
          <w:rFonts w:ascii="Book Antiqua" w:hAnsi="Book Antiqua" w:cs="Cambria"/>
          <w:sz w:val="24"/>
          <w:szCs w:val="24"/>
          <w:lang w:val="id-ID"/>
        </w:rPr>
        <w:t xml:space="preserve"> the problems being faced/discussed.</w:t>
      </w:r>
      <w:r w:rsidR="003313B9" w:rsidRPr="00AD14D5">
        <w:rPr>
          <w:rStyle w:val="FootnoteReference"/>
          <w:rFonts w:ascii="Book Antiqua" w:hAnsi="Book Antiqua" w:cs="Cambria"/>
          <w:sz w:val="24"/>
          <w:szCs w:val="24"/>
          <w:lang w:val="id-ID"/>
        </w:rPr>
        <w:footnoteReference w:id="31"/>
      </w:r>
    </w:p>
    <w:p w14:paraId="596222C9" w14:textId="77777777" w:rsidR="00503A8C" w:rsidRPr="00AD14D5" w:rsidRDefault="003313B9" w:rsidP="004B3D44">
      <w:pPr>
        <w:numPr>
          <w:ilvl w:val="0"/>
          <w:numId w:val="7"/>
        </w:numPr>
        <w:spacing w:before="240" w:after="240" w:line="276" w:lineRule="auto"/>
        <w:ind w:left="426" w:hanging="426"/>
        <w:rPr>
          <w:rFonts w:ascii="Book Antiqua" w:hAnsi="Book Antiqua" w:cs="Cambria"/>
          <w:b/>
          <w:color w:val="C00000"/>
          <w:sz w:val="28"/>
          <w:szCs w:val="24"/>
        </w:rPr>
      </w:pPr>
      <w:r w:rsidRPr="00AD14D5">
        <w:rPr>
          <w:rFonts w:ascii="Book Antiqua" w:hAnsi="Book Antiqua" w:cs="Cambria"/>
          <w:b/>
          <w:color w:val="C00000"/>
          <w:sz w:val="28"/>
          <w:szCs w:val="24"/>
        </w:rPr>
        <w:t>Analysis of Judge's Decision Regarding Substitute Heirs in the Case</w:t>
      </w:r>
      <w:r w:rsidRPr="00AD14D5">
        <w:rPr>
          <w:rFonts w:ascii="Book Antiqua" w:hAnsi="Book Antiqua" w:cs="Cambria"/>
          <w:b/>
          <w:color w:val="C00000"/>
          <w:sz w:val="28"/>
          <w:szCs w:val="24"/>
          <w:lang w:val="id-ID"/>
        </w:rPr>
        <w:t xml:space="preserve"> </w:t>
      </w:r>
      <w:r w:rsidRPr="00AD14D5">
        <w:rPr>
          <w:rFonts w:ascii="Book Antiqua" w:hAnsi="Book Antiqua" w:cs="Cambria"/>
          <w:b/>
          <w:color w:val="C00000"/>
          <w:sz w:val="28"/>
          <w:szCs w:val="24"/>
        </w:rPr>
        <w:t>Number:</w:t>
      </w:r>
      <w:r w:rsidR="00381C20" w:rsidRPr="00AD14D5">
        <w:rPr>
          <w:rFonts w:ascii="Book Antiqua" w:hAnsi="Book Antiqua" w:cs="Cambria"/>
          <w:b/>
          <w:color w:val="C00000"/>
          <w:sz w:val="28"/>
          <w:szCs w:val="24"/>
          <w:lang w:val="id-ID"/>
        </w:rPr>
        <w:t xml:space="preserve"> </w:t>
      </w:r>
      <w:r w:rsidR="00381C20" w:rsidRPr="00AD14D5">
        <w:rPr>
          <w:rFonts w:ascii="Book Antiqua" w:hAnsi="Book Antiqua" w:cs="Cambria"/>
          <w:b/>
          <w:color w:val="C00000"/>
          <w:sz w:val="28"/>
          <w:szCs w:val="24"/>
        </w:rPr>
        <w:t>132/Pdt.P/2019/PA.Gtlo</w:t>
      </w:r>
      <w:r w:rsidRPr="00AD14D5">
        <w:rPr>
          <w:rFonts w:ascii="Book Antiqua" w:hAnsi="Book Antiqua" w:cs="Cambria"/>
          <w:b/>
          <w:color w:val="C00000"/>
          <w:sz w:val="28"/>
          <w:szCs w:val="24"/>
          <w:lang w:val="id-ID"/>
        </w:rPr>
        <w:t xml:space="preserve"> </w:t>
      </w:r>
      <w:r w:rsidRPr="00AD14D5">
        <w:rPr>
          <w:rFonts w:ascii="Book Antiqua" w:hAnsi="Book Antiqua" w:cs="Cambria"/>
          <w:b/>
          <w:color w:val="C00000"/>
          <w:sz w:val="28"/>
          <w:szCs w:val="24"/>
        </w:rPr>
        <w:t>Judging from the Compilation of Islamic Law</w:t>
      </w:r>
    </w:p>
    <w:p w14:paraId="24DD5003" w14:textId="3B08153E" w:rsidR="00381C20" w:rsidRPr="00AD14D5" w:rsidRDefault="00381C20" w:rsidP="004B3D44">
      <w:pPr>
        <w:spacing w:before="240" w:after="240" w:line="276" w:lineRule="auto"/>
        <w:ind w:left="0"/>
        <w:rPr>
          <w:rFonts w:ascii="Book Antiqua" w:hAnsi="Book Antiqua" w:cs="Cambria"/>
          <w:bCs/>
          <w:sz w:val="24"/>
        </w:rPr>
      </w:pPr>
      <w:r w:rsidRPr="00AD14D5">
        <w:rPr>
          <w:rFonts w:ascii="Book Antiqua" w:hAnsi="Book Antiqua" w:cs="Cambria"/>
          <w:bCs/>
          <w:sz w:val="24"/>
        </w:rPr>
        <w:t>In the ruling on case number 132/Pdt.P/2019/PA.</w:t>
      </w:r>
      <w:r w:rsidR="00766E78">
        <w:rPr>
          <w:rFonts w:ascii="Book Antiqua" w:hAnsi="Book Antiqua" w:cs="Cambria"/>
          <w:bCs/>
          <w:sz w:val="24"/>
          <w:lang w:val="id-ID"/>
        </w:rPr>
        <w:t xml:space="preserve"> </w:t>
      </w:r>
      <w:r w:rsidRPr="00AD14D5">
        <w:rPr>
          <w:rFonts w:ascii="Book Antiqua" w:hAnsi="Book Antiqua" w:cs="Cambria"/>
          <w:bCs/>
          <w:sz w:val="24"/>
        </w:rPr>
        <w:t>Gtlo the panel of judges stated that the case was declared unacceptable with several legal considerations that were also included in the decision. However, the most interesting thing is related to the request for a replacement heir which was also declared unacceptable in its entirety. According to the provisions of the Compilation of Islamic Law, the concept of a substitute heir does exist with certain conditions that must be met.</w:t>
      </w:r>
    </w:p>
    <w:p w14:paraId="59535882" w14:textId="77777777" w:rsidR="00381C20" w:rsidRPr="00AD14D5" w:rsidRDefault="00381C20" w:rsidP="004B3D44">
      <w:pPr>
        <w:spacing w:before="240" w:after="240" w:line="276" w:lineRule="auto"/>
        <w:ind w:left="0"/>
        <w:rPr>
          <w:rFonts w:ascii="Book Antiqua" w:hAnsi="Book Antiqua" w:cs="Cambria"/>
          <w:bCs/>
          <w:sz w:val="24"/>
        </w:rPr>
      </w:pPr>
      <w:r w:rsidRPr="00AD14D5">
        <w:rPr>
          <w:rFonts w:ascii="Book Antiqua" w:hAnsi="Book Antiqua" w:cs="Cambria"/>
          <w:bCs/>
          <w:sz w:val="24"/>
        </w:rPr>
        <w:lastRenderedPageBreak/>
        <w:t>In the decision by the panel of judges in case No. 132/Pdt.P2019/ PA. Gtlo, which made the case unacceptable because there were 2 (two) main issues that were questioned in the legal considerations, namely:</w:t>
      </w:r>
    </w:p>
    <w:p w14:paraId="6D774FC3" w14:textId="77777777" w:rsidR="00381C20" w:rsidRPr="00AD14D5" w:rsidRDefault="00381C20" w:rsidP="004B3D44">
      <w:pPr>
        <w:numPr>
          <w:ilvl w:val="0"/>
          <w:numId w:val="10"/>
        </w:numPr>
        <w:spacing w:before="240" w:after="240" w:line="276" w:lineRule="auto"/>
        <w:ind w:left="709" w:hanging="283"/>
        <w:rPr>
          <w:rFonts w:ascii="Book Antiqua" w:hAnsi="Book Antiqua" w:cs="Cambria"/>
          <w:bCs/>
          <w:sz w:val="24"/>
        </w:rPr>
      </w:pPr>
      <w:r w:rsidRPr="00AD14D5">
        <w:rPr>
          <w:rFonts w:ascii="Book Antiqua" w:hAnsi="Book Antiqua" w:cs="Cambria"/>
          <w:bCs/>
          <w:sz w:val="24"/>
        </w:rPr>
        <w:t>Is it true that Saini Datau bin Yaudin Datau and Rabia Ali have died?</w:t>
      </w:r>
    </w:p>
    <w:p w14:paraId="153BD232" w14:textId="77777777" w:rsidR="00381C20" w:rsidRPr="00AD14D5" w:rsidRDefault="00381C20" w:rsidP="004B3D44">
      <w:pPr>
        <w:numPr>
          <w:ilvl w:val="0"/>
          <w:numId w:val="10"/>
        </w:numPr>
        <w:spacing w:before="240" w:after="240" w:line="276" w:lineRule="auto"/>
        <w:ind w:left="709" w:hanging="283"/>
        <w:rPr>
          <w:rFonts w:ascii="Book Antiqua" w:hAnsi="Book Antiqua" w:cs="Cambria"/>
          <w:bCs/>
          <w:sz w:val="24"/>
        </w:rPr>
      </w:pPr>
      <w:r w:rsidRPr="00AD14D5">
        <w:rPr>
          <w:rFonts w:ascii="Book Antiqua" w:hAnsi="Book Antiqua" w:cs="Cambria"/>
          <w:bCs/>
          <w:sz w:val="24"/>
        </w:rPr>
        <w:t>Is it true that the successor heirs have the right and should be the successor heirs of their parents?</w:t>
      </w:r>
    </w:p>
    <w:p w14:paraId="32FB8070" w14:textId="5D0C143C" w:rsidR="00381C20" w:rsidRPr="00AD14D5" w:rsidRDefault="00381C20"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In addition to the main points above, the panel of judges also considered </w:t>
      </w:r>
      <w:r w:rsidR="00766E78">
        <w:rPr>
          <w:rFonts w:ascii="Book Antiqua" w:hAnsi="Book Antiqua" w:cs="Cambria"/>
          <w:bCs/>
          <w:sz w:val="24"/>
          <w:lang w:val="id-ID"/>
        </w:rPr>
        <w:t>their</w:t>
      </w:r>
      <w:r w:rsidRPr="00AD14D5">
        <w:rPr>
          <w:rFonts w:ascii="Book Antiqua" w:hAnsi="Book Antiqua" w:cs="Cambria"/>
          <w:bCs/>
          <w:sz w:val="24"/>
        </w:rPr>
        <w:t xml:space="preserve"> legal considerations, the main content of which was based on the f</w:t>
      </w:r>
      <w:r w:rsidR="00766E78">
        <w:rPr>
          <w:rFonts w:ascii="Book Antiqua" w:hAnsi="Book Antiqua" w:cs="Cambria"/>
          <w:bCs/>
          <w:sz w:val="24"/>
          <w:lang w:val="id-ID"/>
        </w:rPr>
        <w:t xml:space="preserve">act </w:t>
      </w:r>
      <w:r w:rsidRPr="00AD14D5">
        <w:rPr>
          <w:rFonts w:ascii="Book Antiqua" w:hAnsi="Book Antiqua" w:cs="Cambria"/>
          <w:bCs/>
          <w:sz w:val="24"/>
        </w:rPr>
        <w:t xml:space="preserve">the trial was still questioning the status and position of the applicants who were asked to become substitute heirs for their parents. Meanwhile, if referring to the provisions in Article 185 of the </w:t>
      </w:r>
      <w:r w:rsidR="00007603">
        <w:rPr>
          <w:rFonts w:ascii="Book Antiqua" w:hAnsi="Book Antiqua" w:cs="Cambria"/>
          <w:bCs/>
          <w:sz w:val="24"/>
        </w:rPr>
        <w:t>ILC</w:t>
      </w:r>
      <w:r w:rsidRPr="00AD14D5">
        <w:rPr>
          <w:rFonts w:ascii="Book Antiqua" w:hAnsi="Book Antiqua" w:cs="Cambria"/>
          <w:bCs/>
          <w:sz w:val="24"/>
        </w:rPr>
        <w:t>, the legal position of the parties who volunteer to become substitute heirs is allowed.</w:t>
      </w:r>
    </w:p>
    <w:p w14:paraId="757B0BF8" w14:textId="129F0909" w:rsidR="003313B9" w:rsidRPr="00AD14D5" w:rsidRDefault="00381C20"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On the other hand, </w:t>
      </w:r>
      <w:r w:rsidR="00766E78">
        <w:rPr>
          <w:rFonts w:ascii="Book Antiqua" w:hAnsi="Book Antiqua" w:cs="Cambria"/>
          <w:bCs/>
          <w:sz w:val="24"/>
          <w:lang w:val="id-ID"/>
        </w:rPr>
        <w:t>c</w:t>
      </w:r>
      <w:r w:rsidRPr="00AD14D5">
        <w:rPr>
          <w:rFonts w:ascii="Book Antiqua" w:hAnsi="Book Antiqua" w:cs="Cambria"/>
          <w:bCs/>
          <w:sz w:val="24"/>
        </w:rPr>
        <w:t>ase No. 132/Pdt.P2019/PA is no longer considered a voluntary case but has become a contentious case, based on the fact that based on the statements of the Petitioners it contains the Plaintiff and the Defendant and is not pure as a voluntary case, there is a legal reason for the Petitioners' petition. declared unacceptable (Niet Ovantkelijke Verklaard).</w:t>
      </w:r>
    </w:p>
    <w:p w14:paraId="0C872DA5" w14:textId="1746567B" w:rsidR="00381C20" w:rsidRPr="00AD14D5" w:rsidRDefault="00381C20" w:rsidP="004B3D44">
      <w:pPr>
        <w:spacing w:before="240" w:after="240" w:line="276" w:lineRule="auto"/>
        <w:ind w:left="0"/>
        <w:rPr>
          <w:rFonts w:ascii="Book Antiqua" w:hAnsi="Book Antiqua" w:cs="Cambria"/>
          <w:bCs/>
          <w:sz w:val="24"/>
        </w:rPr>
      </w:pPr>
      <w:r w:rsidRPr="00AD14D5">
        <w:rPr>
          <w:rFonts w:ascii="Book Antiqua" w:hAnsi="Book Antiqua" w:cs="Cambria"/>
          <w:bCs/>
          <w:sz w:val="24"/>
        </w:rPr>
        <w:t>In the legal considerations contained in decision no. 132/Pdt.P/2019/PA.</w:t>
      </w:r>
      <w:r w:rsidR="00766E78">
        <w:rPr>
          <w:rFonts w:ascii="Book Antiqua" w:hAnsi="Book Antiqua" w:cs="Cambria"/>
          <w:bCs/>
          <w:sz w:val="24"/>
          <w:lang w:val="id-ID"/>
        </w:rPr>
        <w:t xml:space="preserve"> </w:t>
      </w:r>
      <w:r w:rsidRPr="00AD14D5">
        <w:rPr>
          <w:rFonts w:ascii="Book Antiqua" w:hAnsi="Book Antiqua" w:cs="Cambria"/>
          <w:bCs/>
          <w:sz w:val="24"/>
        </w:rPr>
        <w:t>Gtlo there are 2 (two) main issues regarding the petition by the petitioners, namely first whether Saini Datau bin Yaudin Datau and Rabia Ali have died, and second is whether it is true,</w:t>
      </w:r>
      <w:r w:rsidR="00766E78">
        <w:rPr>
          <w:rFonts w:ascii="Book Antiqua" w:hAnsi="Book Antiqua" w:cs="Cambria"/>
          <w:bCs/>
          <w:sz w:val="24"/>
          <w:lang w:val="id-ID"/>
        </w:rPr>
        <w:t xml:space="preserve"> that </w:t>
      </w:r>
      <w:r w:rsidRPr="00AD14D5">
        <w:rPr>
          <w:rFonts w:ascii="Book Antiqua" w:hAnsi="Book Antiqua" w:cs="Cambria"/>
          <w:bCs/>
          <w:sz w:val="24"/>
        </w:rPr>
        <w:t xml:space="preserve">the successor heirs have the right and should be the successor heirs of their parents. Because the focus of the study is to see how the substitute heirs should be determined and linked to </w:t>
      </w:r>
      <w:r w:rsidR="00007603">
        <w:rPr>
          <w:rFonts w:ascii="Book Antiqua" w:hAnsi="Book Antiqua" w:cs="Cambria"/>
          <w:bCs/>
          <w:sz w:val="24"/>
        </w:rPr>
        <w:t>ILC</w:t>
      </w:r>
      <w:r w:rsidRPr="00AD14D5">
        <w:rPr>
          <w:rFonts w:ascii="Book Antiqua" w:hAnsi="Book Antiqua" w:cs="Cambria"/>
          <w:bCs/>
          <w:sz w:val="24"/>
        </w:rPr>
        <w:t xml:space="preserve"> as a reference which is also used by the panel of judges in case No. 132/Pdt.P/2019/PA.Gtlo.</w:t>
      </w:r>
    </w:p>
    <w:p w14:paraId="38EED2DB" w14:textId="69759882" w:rsidR="00381C20" w:rsidRPr="00AD14D5" w:rsidRDefault="00007603" w:rsidP="004B3D44">
      <w:pPr>
        <w:spacing w:before="240" w:after="240" w:line="276" w:lineRule="auto"/>
        <w:ind w:left="0"/>
        <w:rPr>
          <w:rFonts w:ascii="Book Antiqua" w:hAnsi="Book Antiqua" w:cs="Cambria"/>
          <w:bCs/>
          <w:sz w:val="24"/>
        </w:rPr>
      </w:pPr>
      <w:r>
        <w:rPr>
          <w:rFonts w:ascii="Book Antiqua" w:hAnsi="Book Antiqua" w:cs="Cambria"/>
          <w:bCs/>
          <w:sz w:val="24"/>
        </w:rPr>
        <w:t>ILC</w:t>
      </w:r>
      <w:r w:rsidR="00381C20" w:rsidRPr="00AD14D5">
        <w:rPr>
          <w:rFonts w:ascii="Book Antiqua" w:hAnsi="Book Antiqua" w:cs="Cambria"/>
          <w:bCs/>
          <w:sz w:val="24"/>
        </w:rPr>
        <w:t xml:space="preserve"> provides space for children or their descendants from heirs to become substitute heirs provided that the heir dies before the heir, then the position of the heir can be replaced by his child, except for those mentioned in Article 173 </w:t>
      </w:r>
      <w:r>
        <w:rPr>
          <w:rFonts w:ascii="Book Antiqua" w:hAnsi="Book Antiqua" w:cs="Cambria"/>
          <w:bCs/>
          <w:sz w:val="24"/>
        </w:rPr>
        <w:t>ILC</w:t>
      </w:r>
      <w:r w:rsidR="00381C20" w:rsidRPr="00AD14D5">
        <w:rPr>
          <w:rFonts w:ascii="Book Antiqua" w:hAnsi="Book Antiqua" w:cs="Cambria"/>
          <w:bCs/>
          <w:sz w:val="24"/>
        </w:rPr>
        <w:t>.</w:t>
      </w:r>
      <w:r w:rsidR="00381C20" w:rsidRPr="00AD14D5">
        <w:rPr>
          <w:rStyle w:val="FootnoteReference"/>
          <w:rFonts w:ascii="Book Antiqua" w:hAnsi="Book Antiqua" w:cs="Cambria"/>
          <w:bCs/>
          <w:sz w:val="24"/>
        </w:rPr>
        <w:footnoteReference w:id="32"/>
      </w:r>
      <w:r w:rsidR="00381C20" w:rsidRPr="00AD14D5">
        <w:rPr>
          <w:rFonts w:ascii="Book Antiqua" w:hAnsi="Book Antiqua" w:cs="Cambria"/>
          <w:bCs/>
          <w:sz w:val="24"/>
          <w:lang w:val="id-ID"/>
        </w:rPr>
        <w:t xml:space="preserve"> </w:t>
      </w:r>
      <w:r w:rsidR="00381C20" w:rsidRPr="00AD14D5">
        <w:rPr>
          <w:rFonts w:ascii="Book Antiqua" w:hAnsi="Book Antiqua" w:cs="Cambria"/>
          <w:bCs/>
          <w:sz w:val="24"/>
        </w:rPr>
        <w:t xml:space="preserve">Here, the share of the substitute heirs may not exceed that of the equal heirs being replaced. </w:t>
      </w:r>
      <w:r w:rsidR="00381C20" w:rsidRPr="00AD14D5">
        <w:rPr>
          <w:rStyle w:val="FootnoteReference"/>
          <w:rFonts w:ascii="Book Antiqua" w:hAnsi="Book Antiqua" w:cs="Cambria"/>
          <w:bCs/>
          <w:sz w:val="24"/>
        </w:rPr>
        <w:footnoteReference w:id="33"/>
      </w:r>
      <w:r w:rsidR="00381C20" w:rsidRPr="00AD14D5">
        <w:rPr>
          <w:rFonts w:ascii="Book Antiqua" w:hAnsi="Book Antiqua" w:cs="Cambria"/>
          <w:bCs/>
          <w:sz w:val="24"/>
        </w:rPr>
        <w:t>Therefore, it is also appropriate to explore and examine who deserves to be given the right to become a substitute heir in case No. 132/Pdt.P/2019/PA.</w:t>
      </w:r>
      <w:r w:rsidR="006949B8">
        <w:rPr>
          <w:rFonts w:ascii="Book Antiqua" w:hAnsi="Book Antiqua" w:cs="Cambria"/>
          <w:bCs/>
          <w:sz w:val="24"/>
          <w:lang w:val="id-ID"/>
        </w:rPr>
        <w:t xml:space="preserve"> </w:t>
      </w:r>
      <w:r w:rsidR="00381C20" w:rsidRPr="00AD14D5">
        <w:rPr>
          <w:rFonts w:ascii="Book Antiqua" w:hAnsi="Book Antiqua" w:cs="Cambria"/>
          <w:bCs/>
          <w:sz w:val="24"/>
        </w:rPr>
        <w:t xml:space="preserve">Gtlo, </w:t>
      </w:r>
      <w:r w:rsidR="00766E78">
        <w:rPr>
          <w:rFonts w:ascii="Book Antiqua" w:hAnsi="Book Antiqua" w:cs="Cambria"/>
          <w:bCs/>
          <w:sz w:val="24"/>
          <w:lang w:val="id-ID"/>
        </w:rPr>
        <w:t>where several people were</w:t>
      </w:r>
      <w:r w:rsidR="00381C20" w:rsidRPr="00AD14D5">
        <w:rPr>
          <w:rFonts w:ascii="Book Antiqua" w:hAnsi="Book Antiqua" w:cs="Cambria"/>
          <w:bCs/>
          <w:sz w:val="24"/>
        </w:rPr>
        <w:t xml:space="preserve"> asked to serve as replacement heirs.</w:t>
      </w:r>
    </w:p>
    <w:p w14:paraId="3D1BF313" w14:textId="708F2F56" w:rsidR="00C23415" w:rsidRPr="00AD14D5" w:rsidRDefault="00C23415" w:rsidP="004B3D44">
      <w:pPr>
        <w:spacing w:before="240" w:after="240" w:line="276" w:lineRule="auto"/>
        <w:ind w:left="0"/>
        <w:rPr>
          <w:rFonts w:ascii="Book Antiqua" w:hAnsi="Book Antiqua" w:cs="Cambria"/>
          <w:bCs/>
          <w:sz w:val="24"/>
        </w:rPr>
      </w:pPr>
      <w:r w:rsidRPr="00AD14D5">
        <w:rPr>
          <w:rFonts w:ascii="Book Antiqua" w:hAnsi="Book Antiqua" w:cs="Cambria"/>
          <w:bCs/>
          <w:sz w:val="24"/>
        </w:rPr>
        <w:lastRenderedPageBreak/>
        <w:t xml:space="preserve">Every applicant </w:t>
      </w:r>
      <w:r w:rsidR="00766E78">
        <w:rPr>
          <w:rFonts w:ascii="Book Antiqua" w:hAnsi="Book Antiqua" w:cs="Cambria"/>
          <w:bCs/>
          <w:sz w:val="24"/>
          <w:lang w:val="id-ID"/>
        </w:rPr>
        <w:t>who applies</w:t>
      </w:r>
      <w:r w:rsidRPr="00AD14D5">
        <w:rPr>
          <w:rFonts w:ascii="Book Antiqua" w:hAnsi="Book Antiqua" w:cs="Cambria"/>
          <w:bCs/>
          <w:sz w:val="24"/>
        </w:rPr>
        <w:t xml:space="preserve"> is certainly a person who has a position or interest in what is being applied for, because, if not, then the application submitted by the applicant without interest can be declared unacceptable by the panel of judges in its decision.</w:t>
      </w:r>
      <w:r w:rsidRPr="00AD14D5">
        <w:rPr>
          <w:rStyle w:val="FootnoteReference"/>
          <w:rFonts w:ascii="Book Antiqua" w:hAnsi="Book Antiqua" w:cs="Cambria"/>
          <w:bCs/>
          <w:sz w:val="24"/>
        </w:rPr>
        <w:footnoteReference w:id="34"/>
      </w:r>
      <w:r w:rsidRPr="00AD14D5">
        <w:rPr>
          <w:rFonts w:ascii="Book Antiqua" w:hAnsi="Book Antiqua" w:cs="Cambria"/>
          <w:bCs/>
          <w:sz w:val="24"/>
          <w:lang w:val="id-ID"/>
        </w:rPr>
        <w:t xml:space="preserve"> </w:t>
      </w:r>
      <w:r w:rsidRPr="00AD14D5">
        <w:rPr>
          <w:rFonts w:ascii="Book Antiqua" w:hAnsi="Book Antiqua" w:cs="Cambria"/>
          <w:bCs/>
          <w:sz w:val="24"/>
        </w:rPr>
        <w:t>Therefore, the applicants as mentioned above in case No. 132/Pdt.P/2019/PA.</w:t>
      </w:r>
      <w:r w:rsidR="00766E78">
        <w:rPr>
          <w:rFonts w:ascii="Book Antiqua" w:hAnsi="Book Antiqua" w:cs="Cambria"/>
          <w:bCs/>
          <w:sz w:val="24"/>
          <w:lang w:val="id-ID"/>
        </w:rPr>
        <w:t xml:space="preserve"> </w:t>
      </w:r>
      <w:r w:rsidRPr="00AD14D5">
        <w:rPr>
          <w:rFonts w:ascii="Book Antiqua" w:hAnsi="Book Antiqua" w:cs="Cambria"/>
          <w:bCs/>
          <w:sz w:val="24"/>
        </w:rPr>
        <w:t xml:space="preserve">Gtlo must be a person who has an interest in the case being submitted/requested. As one of the requirements, the legal interest of the applicant is sufficient to </w:t>
      </w:r>
      <w:r w:rsidR="00766E78">
        <w:rPr>
          <w:rFonts w:ascii="Book Antiqua" w:hAnsi="Book Antiqua" w:cs="Cambria"/>
          <w:bCs/>
          <w:sz w:val="24"/>
          <w:lang w:val="id-ID"/>
        </w:rPr>
        <w:t>reinforce</w:t>
      </w:r>
      <w:r w:rsidRPr="00AD14D5">
        <w:rPr>
          <w:rFonts w:ascii="Book Antiqua" w:hAnsi="Book Antiqua" w:cs="Cambria"/>
          <w:bCs/>
          <w:sz w:val="24"/>
        </w:rPr>
        <w:t xml:space="preserve"> the applicant to continue the case.</w:t>
      </w:r>
    </w:p>
    <w:p w14:paraId="7448FFBC" w14:textId="4EAFB505"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Referring to the provisions referred to in Article 171 of the </w:t>
      </w:r>
      <w:r w:rsidR="00007603">
        <w:rPr>
          <w:rFonts w:ascii="Book Antiqua" w:hAnsi="Book Antiqua" w:cs="Cambria"/>
          <w:bCs/>
          <w:sz w:val="24"/>
        </w:rPr>
        <w:t>ILC</w:t>
      </w:r>
      <w:r w:rsidRPr="00AD14D5">
        <w:rPr>
          <w:rFonts w:ascii="Book Antiqua" w:hAnsi="Book Antiqua" w:cs="Cambria"/>
          <w:bCs/>
          <w:sz w:val="24"/>
        </w:rPr>
        <w:t xml:space="preserve">, the heir is a person who has been declared dead and is Muslim and </w:t>
      </w:r>
      <w:r w:rsidR="00766E78">
        <w:rPr>
          <w:rFonts w:ascii="Book Antiqua" w:hAnsi="Book Antiqua" w:cs="Cambria"/>
          <w:bCs/>
          <w:sz w:val="24"/>
          <w:lang w:val="id-ID"/>
        </w:rPr>
        <w:t xml:space="preserve">has an </w:t>
      </w:r>
      <w:r w:rsidRPr="00AD14D5">
        <w:rPr>
          <w:rFonts w:ascii="Book Antiqua" w:hAnsi="Book Antiqua" w:cs="Cambria"/>
          <w:bCs/>
          <w:sz w:val="24"/>
        </w:rPr>
        <w:t>inheritance to be inherited. Therefore, referring to the case in question, the prospective heir in the case is mentioned as the late Alm. Saini Datau bint Yaudin Datau. As for the principal of the petition, the applicant proposes that the heirs of the late. Saini Datau is the late. Kamaria Datau. Furthermore, the heirs of the late. Kamaria Datau are Etty Muchsin and Kadir Muchsin. On the other hand, the applicant also submitted the determination of the heir of the deceased. Zubaida Datau is the late. Stin Ismail, Eri Ismail, Ardjuan Ismail</w:t>
      </w:r>
      <w:r w:rsidR="00766E78">
        <w:rPr>
          <w:rFonts w:ascii="Book Antiqua" w:hAnsi="Book Antiqua" w:cs="Cambria"/>
          <w:bCs/>
          <w:sz w:val="24"/>
          <w:lang w:val="id-ID"/>
        </w:rPr>
        <w:t>,</w:t>
      </w:r>
      <w:r w:rsidRPr="00AD14D5">
        <w:rPr>
          <w:rFonts w:ascii="Book Antiqua" w:hAnsi="Book Antiqua" w:cs="Cambria"/>
          <w:bCs/>
          <w:sz w:val="24"/>
        </w:rPr>
        <w:t xml:space="preserve"> and Arni Ismail. In addition, the applicant also proposed the determination of a replacement heir from the late. Stin Ismail is Ucon Rahim and Trijanti Rahim. However, the subject of the next issue is in the main petition in case No. 132/Pdt.P/2019/PA.</w:t>
      </w:r>
      <w:r w:rsidR="00766E78">
        <w:rPr>
          <w:rFonts w:ascii="Book Antiqua" w:hAnsi="Book Antiqua" w:cs="Cambria"/>
          <w:bCs/>
          <w:sz w:val="24"/>
          <w:lang w:val="id-ID"/>
        </w:rPr>
        <w:t xml:space="preserve"> </w:t>
      </w:r>
      <w:r w:rsidRPr="00AD14D5">
        <w:rPr>
          <w:rFonts w:ascii="Book Antiqua" w:hAnsi="Book Antiqua" w:cs="Cambria"/>
          <w:bCs/>
          <w:sz w:val="24"/>
        </w:rPr>
        <w:t>Gtlo, it is not stated what the price of the inheritance will be inherited by the heir.</w:t>
      </w:r>
    </w:p>
    <w:p w14:paraId="2F87B55A" w14:textId="012BBC25"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According to the provisions of Article 171 of the </w:t>
      </w:r>
      <w:r w:rsidR="00007603">
        <w:rPr>
          <w:rFonts w:ascii="Book Antiqua" w:hAnsi="Book Antiqua" w:cs="Cambria"/>
          <w:bCs/>
          <w:sz w:val="24"/>
        </w:rPr>
        <w:t>ILC</w:t>
      </w:r>
      <w:r w:rsidRPr="00AD14D5">
        <w:rPr>
          <w:rFonts w:ascii="Book Antiqua" w:hAnsi="Book Antiqua" w:cs="Cambria"/>
          <w:bCs/>
          <w:sz w:val="24"/>
        </w:rPr>
        <w:t xml:space="preserve">, inheritance is property left by the testator along with his rights. Whereas what is meant by </w:t>
      </w:r>
      <w:r w:rsidR="00766E78">
        <w:rPr>
          <w:rFonts w:ascii="Book Antiqua" w:hAnsi="Book Antiqua" w:cs="Cambria"/>
          <w:bCs/>
          <w:sz w:val="24"/>
          <w:lang w:val="id-ID"/>
        </w:rPr>
        <w:t>Hari’s</w:t>
      </w:r>
      <w:r w:rsidRPr="00AD14D5">
        <w:rPr>
          <w:rFonts w:ascii="Book Antiqua" w:hAnsi="Book Antiqua" w:cs="Cambria"/>
          <w:bCs/>
          <w:sz w:val="24"/>
        </w:rPr>
        <w:t xml:space="preserve"> property is inherited property added to joint property which after being used for purposes during the heir is sick until he dies. Therefore, in case No. 132/Pdt.P/2019/PA.</w:t>
      </w:r>
      <w:r w:rsidR="00766E78">
        <w:rPr>
          <w:rFonts w:ascii="Book Antiqua" w:hAnsi="Book Antiqua" w:cs="Cambria"/>
          <w:bCs/>
          <w:sz w:val="24"/>
          <w:lang w:val="id-ID"/>
        </w:rPr>
        <w:t xml:space="preserve"> </w:t>
      </w:r>
      <w:r w:rsidRPr="00AD14D5">
        <w:rPr>
          <w:rFonts w:ascii="Book Antiqua" w:hAnsi="Book Antiqua" w:cs="Cambria"/>
          <w:bCs/>
          <w:sz w:val="24"/>
        </w:rPr>
        <w:t xml:space="preserve">Gtlo, it can be concluded that the application for the determination of heirs and replacement heirs is a plot of land owned in the name of the late. Saini Datau. However, in the case being filed, it is not explained what is the basis for </w:t>
      </w:r>
      <w:r w:rsidR="00766E78">
        <w:rPr>
          <w:rFonts w:ascii="Book Antiqua" w:hAnsi="Book Antiqua" w:cs="Cambria"/>
          <w:bCs/>
          <w:sz w:val="24"/>
          <w:lang w:val="id-ID"/>
        </w:rPr>
        <w:t>applying</w:t>
      </w:r>
      <w:r w:rsidRPr="00AD14D5">
        <w:rPr>
          <w:rFonts w:ascii="Book Antiqua" w:hAnsi="Book Antiqua" w:cs="Cambria"/>
          <w:bCs/>
          <w:sz w:val="24"/>
        </w:rPr>
        <w:t xml:space="preserve"> determination of heirs and substitute heirs.</w:t>
      </w:r>
    </w:p>
    <w:p w14:paraId="04450076" w14:textId="49C4BCF8"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In an application or lawsuit filed by the parties, it must be clear what is the subject of the problem, the identity of the parties, and other matters </w:t>
      </w:r>
      <w:r w:rsidR="00766E78">
        <w:rPr>
          <w:rFonts w:ascii="Book Antiqua" w:hAnsi="Book Antiqua" w:cs="Cambria"/>
          <w:bCs/>
          <w:sz w:val="24"/>
          <w:lang w:val="id-ID"/>
        </w:rPr>
        <w:t>to</w:t>
      </w:r>
      <w:r w:rsidRPr="00AD14D5">
        <w:rPr>
          <w:rFonts w:ascii="Book Antiqua" w:hAnsi="Book Antiqua" w:cs="Cambria"/>
          <w:bCs/>
          <w:sz w:val="24"/>
        </w:rPr>
        <w:t xml:space="preserve"> see what should be decided by the panel of judges. This is to avoid an application being declared unacceptable or may be rejected by the panel of judges. Although there is little clarity about </w:t>
      </w:r>
      <w:r w:rsidR="00766E78">
        <w:rPr>
          <w:rFonts w:ascii="Book Antiqua" w:hAnsi="Book Antiqua" w:cs="Cambria"/>
          <w:bCs/>
          <w:sz w:val="24"/>
          <w:lang w:val="id-ID"/>
        </w:rPr>
        <w:t xml:space="preserve">whether </w:t>
      </w:r>
      <w:r w:rsidRPr="00AD14D5">
        <w:rPr>
          <w:rFonts w:ascii="Book Antiqua" w:hAnsi="Book Antiqua" w:cs="Cambria"/>
          <w:bCs/>
          <w:sz w:val="24"/>
        </w:rPr>
        <w:t xml:space="preserve">the object in question </w:t>
      </w:r>
      <w:r w:rsidR="006949B8">
        <w:rPr>
          <w:rFonts w:ascii="Book Antiqua" w:hAnsi="Book Antiqua" w:cs="Cambria"/>
          <w:bCs/>
          <w:sz w:val="24"/>
          <w:lang w:val="id-ID"/>
        </w:rPr>
        <w:t>is</w:t>
      </w:r>
      <w:r w:rsidRPr="00AD14D5">
        <w:rPr>
          <w:rFonts w:ascii="Book Antiqua" w:hAnsi="Book Antiqua" w:cs="Cambria"/>
          <w:bCs/>
          <w:sz w:val="24"/>
        </w:rPr>
        <w:t xml:space="preserve"> a piece of land, </w:t>
      </w:r>
      <w:r w:rsidR="00766E78">
        <w:rPr>
          <w:rFonts w:ascii="Book Antiqua" w:hAnsi="Book Antiqua" w:cs="Cambria"/>
          <w:bCs/>
          <w:sz w:val="24"/>
          <w:lang w:val="id-ID"/>
        </w:rPr>
        <w:t>as</w:t>
      </w:r>
      <w:r w:rsidRPr="00AD14D5">
        <w:rPr>
          <w:rFonts w:ascii="Book Antiqua" w:hAnsi="Book Antiqua" w:cs="Cambria"/>
          <w:bCs/>
          <w:sz w:val="24"/>
        </w:rPr>
        <w:t xml:space="preserve"> </w:t>
      </w:r>
      <w:r w:rsidR="006949B8">
        <w:rPr>
          <w:rFonts w:ascii="Book Antiqua" w:hAnsi="Book Antiqua" w:cs="Cambria"/>
          <w:bCs/>
          <w:sz w:val="24"/>
          <w:lang w:val="id-ID"/>
        </w:rPr>
        <w:t xml:space="preserve">a </w:t>
      </w:r>
      <w:r w:rsidRPr="00AD14D5">
        <w:rPr>
          <w:rFonts w:ascii="Book Antiqua" w:hAnsi="Book Antiqua" w:cs="Cambria"/>
          <w:bCs/>
          <w:sz w:val="24"/>
        </w:rPr>
        <w:lastRenderedPageBreak/>
        <w:t>course</w:t>
      </w:r>
      <w:r w:rsidR="00766E78">
        <w:rPr>
          <w:rFonts w:ascii="Book Antiqua" w:hAnsi="Book Antiqua" w:cs="Cambria"/>
          <w:bCs/>
          <w:sz w:val="24"/>
          <w:lang w:val="id-ID"/>
        </w:rPr>
        <w:t>,</w:t>
      </w:r>
      <w:r w:rsidRPr="00AD14D5">
        <w:rPr>
          <w:rFonts w:ascii="Book Antiqua" w:hAnsi="Book Antiqua" w:cs="Cambria"/>
          <w:bCs/>
          <w:sz w:val="24"/>
        </w:rPr>
        <w:t xml:space="preserve"> it </w:t>
      </w:r>
      <w:r w:rsidR="006949B8">
        <w:rPr>
          <w:rFonts w:ascii="Book Antiqua" w:hAnsi="Book Antiqua" w:cs="Cambria"/>
          <w:bCs/>
          <w:sz w:val="24"/>
          <w:lang w:val="id-ID"/>
        </w:rPr>
        <w:t>cannot</w:t>
      </w:r>
      <w:r w:rsidRPr="00AD14D5">
        <w:rPr>
          <w:rFonts w:ascii="Book Antiqua" w:hAnsi="Book Antiqua" w:cs="Cambria"/>
          <w:bCs/>
          <w:sz w:val="24"/>
        </w:rPr>
        <w:t xml:space="preserve"> fully </w:t>
      </w:r>
      <w:r w:rsidR="006949B8">
        <w:rPr>
          <w:rFonts w:ascii="Book Antiqua" w:hAnsi="Book Antiqua" w:cs="Cambria"/>
          <w:bCs/>
          <w:sz w:val="24"/>
          <w:lang w:val="id-ID"/>
        </w:rPr>
        <w:t xml:space="preserve">be </w:t>
      </w:r>
      <w:r w:rsidRPr="00AD14D5">
        <w:rPr>
          <w:rFonts w:ascii="Book Antiqua" w:hAnsi="Book Antiqua" w:cs="Cambria"/>
          <w:bCs/>
          <w:sz w:val="24"/>
        </w:rPr>
        <w:t>interpreted as a case that is submitted without fighting another party (volunteer).</w:t>
      </w:r>
      <w:r w:rsidR="00B01B52" w:rsidRPr="00AD14D5">
        <w:rPr>
          <w:rStyle w:val="FootnoteReference"/>
          <w:rFonts w:ascii="Book Antiqua" w:hAnsi="Book Antiqua" w:cs="Cambria"/>
          <w:bCs/>
          <w:sz w:val="24"/>
        </w:rPr>
        <w:footnoteReference w:id="35"/>
      </w:r>
    </w:p>
    <w:p w14:paraId="662F5C46" w14:textId="77777777" w:rsidR="00503A8C" w:rsidRPr="00AD14D5" w:rsidRDefault="00503A8C" w:rsidP="004B3D44">
      <w:pPr>
        <w:spacing w:before="240" w:after="240" w:line="276" w:lineRule="auto"/>
        <w:ind w:left="0"/>
        <w:rPr>
          <w:rFonts w:ascii="Book Antiqua" w:hAnsi="Book Antiqua" w:cs="Cambria"/>
          <w:bCs/>
          <w:sz w:val="24"/>
        </w:rPr>
      </w:pPr>
      <w:r w:rsidRPr="00AD14D5">
        <w:rPr>
          <w:rFonts w:ascii="Book Antiqua" w:hAnsi="Book Antiqua" w:cs="Cambria"/>
          <w:bCs/>
          <w:sz w:val="24"/>
        </w:rPr>
        <w:t>On the other hand, the application requested by the parties with the principal application to the Gorontalo PA panel of judges to determine the heirs and substitute heirs to the parties on behalf of:</w:t>
      </w:r>
    </w:p>
    <w:p w14:paraId="41F3C61E" w14:textId="77777777" w:rsidR="00503A8C" w:rsidRPr="00AD14D5" w:rsidRDefault="00503A8C" w:rsidP="004B3D44">
      <w:pPr>
        <w:numPr>
          <w:ilvl w:val="0"/>
          <w:numId w:val="12"/>
        </w:numPr>
        <w:spacing w:before="240" w:after="240" w:line="276" w:lineRule="auto"/>
        <w:rPr>
          <w:rFonts w:ascii="Book Antiqua" w:hAnsi="Book Antiqua" w:cs="Cambria"/>
          <w:bCs/>
          <w:sz w:val="24"/>
        </w:rPr>
      </w:pPr>
      <w:r w:rsidRPr="00AD14D5">
        <w:rPr>
          <w:rFonts w:ascii="Book Antiqua" w:hAnsi="Book Antiqua" w:cs="Cambria"/>
          <w:bCs/>
          <w:sz w:val="24"/>
        </w:rPr>
        <w:t>To stipulate that the successor of the deceased heirs. Zubaida Datau bint Yaudin Datau are:</w:t>
      </w:r>
    </w:p>
    <w:p w14:paraId="40043AD3" w14:textId="77777777" w:rsidR="00503A8C" w:rsidRPr="00AD14D5" w:rsidRDefault="00503A8C" w:rsidP="004B3D44">
      <w:pPr>
        <w:numPr>
          <w:ilvl w:val="0"/>
          <w:numId w:val="13"/>
        </w:numPr>
        <w:spacing w:before="240" w:after="240" w:line="276" w:lineRule="auto"/>
        <w:ind w:left="1134"/>
        <w:rPr>
          <w:rFonts w:ascii="Book Antiqua" w:hAnsi="Book Antiqua" w:cs="Cambria"/>
          <w:bCs/>
          <w:sz w:val="24"/>
        </w:rPr>
      </w:pPr>
      <w:r w:rsidRPr="00AD14D5">
        <w:rPr>
          <w:rFonts w:ascii="Book Antiqua" w:hAnsi="Book Antiqua" w:cs="Cambria"/>
          <w:bCs/>
          <w:sz w:val="24"/>
        </w:rPr>
        <w:t>late. Stin Ismail bint Bakari Ismail (daughter of the deceased);</w:t>
      </w:r>
    </w:p>
    <w:p w14:paraId="7D5186E4" w14:textId="77777777" w:rsidR="00503A8C" w:rsidRPr="00AD14D5" w:rsidRDefault="00503A8C" w:rsidP="004B3D44">
      <w:pPr>
        <w:numPr>
          <w:ilvl w:val="0"/>
          <w:numId w:val="13"/>
        </w:numPr>
        <w:spacing w:before="240" w:after="240" w:line="276" w:lineRule="auto"/>
        <w:ind w:left="1134"/>
        <w:rPr>
          <w:rFonts w:ascii="Book Antiqua" w:hAnsi="Book Antiqua" w:cs="Cambria"/>
          <w:bCs/>
          <w:sz w:val="24"/>
        </w:rPr>
      </w:pPr>
      <w:r w:rsidRPr="00AD14D5">
        <w:rPr>
          <w:rFonts w:ascii="Book Antiqua" w:hAnsi="Book Antiqua" w:cs="Cambria"/>
          <w:bCs/>
          <w:sz w:val="24"/>
        </w:rPr>
        <w:t>Eri Ismail bint Bakari Ismail (daughter of the deceased);</w:t>
      </w:r>
    </w:p>
    <w:p w14:paraId="3BB0DBA7" w14:textId="77777777" w:rsidR="00503A8C" w:rsidRPr="00AD14D5" w:rsidRDefault="00503A8C" w:rsidP="004B3D44">
      <w:pPr>
        <w:numPr>
          <w:ilvl w:val="0"/>
          <w:numId w:val="13"/>
        </w:numPr>
        <w:spacing w:before="240" w:after="240" w:line="276" w:lineRule="auto"/>
        <w:ind w:left="1134"/>
        <w:rPr>
          <w:rFonts w:ascii="Book Antiqua" w:hAnsi="Book Antiqua" w:cs="Cambria"/>
          <w:bCs/>
          <w:sz w:val="24"/>
        </w:rPr>
      </w:pPr>
      <w:r w:rsidRPr="00AD14D5">
        <w:rPr>
          <w:rFonts w:ascii="Book Antiqua" w:hAnsi="Book Antiqua" w:cs="Cambria"/>
          <w:bCs/>
          <w:sz w:val="24"/>
        </w:rPr>
        <w:t>Ardjuna Ismail bint Bakari Ismail (daughter of the deceased);</w:t>
      </w:r>
    </w:p>
    <w:p w14:paraId="0AE77535" w14:textId="77777777" w:rsidR="00503A8C" w:rsidRPr="00AD14D5" w:rsidRDefault="00503A8C" w:rsidP="004B3D44">
      <w:pPr>
        <w:numPr>
          <w:ilvl w:val="0"/>
          <w:numId w:val="13"/>
        </w:numPr>
        <w:spacing w:before="240" w:after="240" w:line="276" w:lineRule="auto"/>
        <w:ind w:left="1134"/>
        <w:rPr>
          <w:rFonts w:ascii="Book Antiqua" w:hAnsi="Book Antiqua" w:cs="Cambria"/>
          <w:bCs/>
          <w:sz w:val="24"/>
        </w:rPr>
      </w:pPr>
      <w:r w:rsidRPr="00AD14D5">
        <w:rPr>
          <w:rFonts w:ascii="Book Antiqua" w:hAnsi="Book Antiqua" w:cs="Cambria"/>
          <w:bCs/>
          <w:sz w:val="24"/>
        </w:rPr>
        <w:t>Arni Ismail bin Bakari Ismail (son of the deceased)</w:t>
      </w:r>
    </w:p>
    <w:p w14:paraId="6C881611" w14:textId="77777777" w:rsidR="00503A8C" w:rsidRPr="00AD14D5" w:rsidRDefault="00503A8C" w:rsidP="004B3D44">
      <w:pPr>
        <w:numPr>
          <w:ilvl w:val="0"/>
          <w:numId w:val="12"/>
        </w:numPr>
        <w:spacing w:before="240" w:after="240" w:line="276" w:lineRule="auto"/>
        <w:rPr>
          <w:rFonts w:ascii="Book Antiqua" w:hAnsi="Book Antiqua" w:cs="Cambria"/>
          <w:bCs/>
          <w:sz w:val="24"/>
        </w:rPr>
      </w:pPr>
      <w:r w:rsidRPr="00AD14D5">
        <w:rPr>
          <w:rFonts w:ascii="Book Antiqua" w:hAnsi="Book Antiqua" w:cs="Cambria"/>
          <w:bCs/>
          <w:sz w:val="24"/>
        </w:rPr>
        <w:t>To stipulate that the successor of the deceased heirs. Stin Ismail bint Bakari Ismail is:</w:t>
      </w:r>
    </w:p>
    <w:p w14:paraId="3BC383A3" w14:textId="77777777" w:rsidR="00503A8C" w:rsidRPr="00AD14D5" w:rsidRDefault="00503A8C" w:rsidP="004B3D44">
      <w:pPr>
        <w:numPr>
          <w:ilvl w:val="0"/>
          <w:numId w:val="14"/>
        </w:numPr>
        <w:spacing w:before="240" w:after="240" w:line="276" w:lineRule="auto"/>
        <w:ind w:left="1134"/>
        <w:rPr>
          <w:rFonts w:ascii="Book Antiqua" w:hAnsi="Book Antiqua" w:cs="Cambria"/>
          <w:bCs/>
          <w:sz w:val="24"/>
        </w:rPr>
      </w:pPr>
      <w:r w:rsidRPr="00AD14D5">
        <w:rPr>
          <w:rFonts w:ascii="Book Antiqua" w:hAnsi="Book Antiqua" w:cs="Cambria"/>
          <w:bCs/>
          <w:sz w:val="24"/>
        </w:rPr>
        <w:t>Ucon Rahim bin Nurdin Rahim (son of the deceased);</w:t>
      </w:r>
    </w:p>
    <w:p w14:paraId="569DC8A0" w14:textId="77777777" w:rsidR="00503A8C" w:rsidRPr="00AD14D5" w:rsidRDefault="00503A8C" w:rsidP="004B3D44">
      <w:pPr>
        <w:numPr>
          <w:ilvl w:val="0"/>
          <w:numId w:val="14"/>
        </w:numPr>
        <w:spacing w:before="240" w:after="240" w:line="276" w:lineRule="auto"/>
        <w:ind w:left="1134"/>
        <w:rPr>
          <w:rFonts w:ascii="Book Antiqua" w:hAnsi="Book Antiqua" w:cs="Cambria"/>
          <w:bCs/>
          <w:sz w:val="24"/>
        </w:rPr>
      </w:pPr>
      <w:r w:rsidRPr="00AD14D5">
        <w:rPr>
          <w:rFonts w:ascii="Book Antiqua" w:hAnsi="Book Antiqua" w:cs="Cambria"/>
          <w:bCs/>
          <w:sz w:val="24"/>
        </w:rPr>
        <w:t>Trijanto Rahim bin Nurdin Rahim (son of the deceased);</w:t>
      </w:r>
    </w:p>
    <w:p w14:paraId="7E2675BE" w14:textId="3A5FCC11" w:rsidR="00503A8C" w:rsidRPr="00AD14D5" w:rsidRDefault="00503A8C"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When referring to the </w:t>
      </w:r>
      <w:r w:rsidR="00007603">
        <w:rPr>
          <w:rFonts w:ascii="Book Antiqua" w:hAnsi="Book Antiqua" w:cs="Cambria"/>
          <w:bCs/>
          <w:sz w:val="24"/>
        </w:rPr>
        <w:t>ILC</w:t>
      </w:r>
      <w:r w:rsidRPr="00AD14D5">
        <w:rPr>
          <w:rFonts w:ascii="Book Antiqua" w:hAnsi="Book Antiqua" w:cs="Cambria"/>
          <w:bCs/>
          <w:sz w:val="24"/>
        </w:rPr>
        <w:t xml:space="preserve">, those who are allowed to become heirs are those who are related by blood or marriage to the heir and are Muslim. The provisions regarding who is meant by heir if referring to </w:t>
      </w:r>
      <w:r w:rsidR="00007603">
        <w:rPr>
          <w:rFonts w:ascii="Book Antiqua" w:hAnsi="Book Antiqua" w:cs="Cambria"/>
          <w:bCs/>
          <w:sz w:val="24"/>
        </w:rPr>
        <w:t>ILC</w:t>
      </w:r>
      <w:r w:rsidRPr="00AD14D5">
        <w:rPr>
          <w:rFonts w:ascii="Book Antiqua" w:hAnsi="Book Antiqua" w:cs="Cambria"/>
          <w:bCs/>
          <w:sz w:val="24"/>
        </w:rPr>
        <w:t xml:space="preserve"> Article 171 letter c, then the applicants as above are considered people who have a relative relationship with the late. Saini Datau. Furthermore, the application submitted by the applicant is also quite </w:t>
      </w:r>
      <w:r w:rsidR="00766E78">
        <w:rPr>
          <w:rFonts w:ascii="Book Antiqua" w:hAnsi="Book Antiqua" w:cs="Cambria"/>
          <w:bCs/>
          <w:sz w:val="24"/>
          <w:lang w:val="id-ID"/>
        </w:rPr>
        <w:t>well-founded</w:t>
      </w:r>
      <w:r w:rsidRPr="00AD14D5">
        <w:rPr>
          <w:rFonts w:ascii="Book Antiqua" w:hAnsi="Book Antiqua" w:cs="Cambria"/>
          <w:bCs/>
          <w:sz w:val="24"/>
        </w:rPr>
        <w:t xml:space="preserve"> because </w:t>
      </w:r>
      <w:r w:rsidR="00766E78">
        <w:rPr>
          <w:rFonts w:ascii="Book Antiqua" w:hAnsi="Book Antiqua" w:cs="Cambria"/>
          <w:bCs/>
          <w:sz w:val="24"/>
          <w:lang w:val="id-ID"/>
        </w:rPr>
        <w:t xml:space="preserve">of </w:t>
      </w:r>
      <w:r w:rsidRPr="00AD14D5">
        <w:rPr>
          <w:rFonts w:ascii="Book Antiqua" w:hAnsi="Book Antiqua" w:cs="Cambria"/>
          <w:bCs/>
          <w:sz w:val="24"/>
        </w:rPr>
        <w:t xml:space="preserve">the late. Saini Datau (whose name is listed on the land certificate) and his wife have no children. This is also based on the provisions of Article 181 and Article 182 of the </w:t>
      </w:r>
      <w:r w:rsidR="00007603">
        <w:rPr>
          <w:rFonts w:ascii="Book Antiqua" w:hAnsi="Book Antiqua" w:cs="Cambria"/>
          <w:bCs/>
          <w:sz w:val="24"/>
        </w:rPr>
        <w:t>ILC</w:t>
      </w:r>
      <w:r w:rsidRPr="00AD14D5">
        <w:rPr>
          <w:rFonts w:ascii="Book Antiqua" w:hAnsi="Book Antiqua" w:cs="Cambria"/>
          <w:bCs/>
          <w:sz w:val="24"/>
        </w:rPr>
        <w:t xml:space="preserve">, where the stipulation is that if a person dies without a father and children, then he may bequeath his property to brothers and sisters of the same mother. Therefore, referring to the family tree, the parties mentioned above, namely the late Almh. Zubaida Datau has a blood relationship with the heir (the late Saini Datau). So according to </w:t>
      </w:r>
      <w:r w:rsidR="00007603">
        <w:rPr>
          <w:rFonts w:ascii="Book Antiqua" w:hAnsi="Book Antiqua" w:cs="Cambria"/>
          <w:bCs/>
          <w:sz w:val="24"/>
        </w:rPr>
        <w:t>ILC</w:t>
      </w:r>
      <w:r w:rsidRPr="00AD14D5">
        <w:rPr>
          <w:rFonts w:ascii="Book Antiqua" w:hAnsi="Book Antiqua" w:cs="Cambria"/>
          <w:bCs/>
          <w:sz w:val="24"/>
        </w:rPr>
        <w:t xml:space="preserve"> Article 171 letter c, the late. </w:t>
      </w:r>
      <w:r w:rsidR="00766E78">
        <w:rPr>
          <w:rFonts w:ascii="Book Antiqua" w:hAnsi="Book Antiqua" w:cs="Cambria"/>
          <w:bCs/>
          <w:sz w:val="24"/>
          <w:lang w:val="id-ID"/>
        </w:rPr>
        <w:t>Zubaidah</w:t>
      </w:r>
      <w:r w:rsidRPr="00AD14D5">
        <w:rPr>
          <w:rFonts w:ascii="Book Antiqua" w:hAnsi="Book Antiqua" w:cs="Cambria"/>
          <w:bCs/>
          <w:sz w:val="24"/>
        </w:rPr>
        <w:t xml:space="preserve"> Datau has the right to be the heir of the late. Saini Datau. Then, Alm. Stin Ismail, Eri </w:t>
      </w:r>
      <w:r w:rsidR="00766E78">
        <w:rPr>
          <w:rFonts w:ascii="Book Antiqua" w:hAnsi="Book Antiqua" w:cs="Cambria"/>
          <w:bCs/>
          <w:sz w:val="24"/>
          <w:lang w:val="id-ID"/>
        </w:rPr>
        <w:t>Ismail</w:t>
      </w:r>
      <w:r w:rsidRPr="00AD14D5">
        <w:rPr>
          <w:rFonts w:ascii="Book Antiqua" w:hAnsi="Book Antiqua" w:cs="Cambria"/>
          <w:bCs/>
          <w:sz w:val="24"/>
        </w:rPr>
        <w:t>, Ardjuna Ismail, and Arni Ismail are the sons of the late. Zubaida Datau.</w:t>
      </w:r>
    </w:p>
    <w:p w14:paraId="247FEF23" w14:textId="64E28F0A"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lastRenderedPageBreak/>
        <w:t xml:space="preserve">Due to the heirs in the name of the late. Kamaria Datau has passed away, so his </w:t>
      </w:r>
      <w:r w:rsidR="006949B8">
        <w:rPr>
          <w:rFonts w:ascii="Book Antiqua" w:hAnsi="Book Antiqua" w:cs="Cambria"/>
          <w:bCs/>
          <w:sz w:val="24"/>
          <w:lang w:val="id-ID"/>
        </w:rPr>
        <w:t>son can replace his position</w:t>
      </w:r>
      <w:r w:rsidRPr="00AD14D5">
        <w:rPr>
          <w:rFonts w:ascii="Book Antiqua" w:hAnsi="Book Antiqua" w:cs="Cambria"/>
          <w:bCs/>
          <w:sz w:val="24"/>
        </w:rPr>
        <w:t>.</w:t>
      </w:r>
      <w:r w:rsidR="00C23415" w:rsidRPr="00AD14D5">
        <w:rPr>
          <w:rStyle w:val="FootnoteReference"/>
          <w:rFonts w:ascii="Book Antiqua" w:hAnsi="Book Antiqua" w:cs="Cambria"/>
          <w:bCs/>
          <w:sz w:val="24"/>
        </w:rPr>
        <w:footnoteReference w:id="36"/>
      </w:r>
      <w:r w:rsidR="00DB392C">
        <w:rPr>
          <w:rFonts w:ascii="Book Antiqua" w:hAnsi="Book Antiqua" w:cs="Cambria"/>
          <w:bCs/>
          <w:sz w:val="24"/>
          <w:lang w:val="id-ID"/>
        </w:rPr>
        <w:t xml:space="preserve"> </w:t>
      </w:r>
      <w:r w:rsidRPr="00AD14D5">
        <w:rPr>
          <w:rFonts w:ascii="Book Antiqua" w:hAnsi="Book Antiqua" w:cs="Cambria"/>
          <w:bCs/>
          <w:sz w:val="24"/>
        </w:rPr>
        <w:t xml:space="preserve">Likewise with </w:t>
      </w:r>
      <w:r w:rsidR="00766E78">
        <w:rPr>
          <w:rFonts w:ascii="Book Antiqua" w:hAnsi="Book Antiqua" w:cs="Cambria"/>
          <w:bCs/>
          <w:sz w:val="24"/>
          <w:lang w:val="id-ID"/>
        </w:rPr>
        <w:t>Alma</w:t>
      </w:r>
      <w:r w:rsidRPr="00AD14D5">
        <w:rPr>
          <w:rFonts w:ascii="Book Antiqua" w:hAnsi="Book Antiqua" w:cs="Cambria"/>
          <w:bCs/>
          <w:sz w:val="24"/>
        </w:rPr>
        <w:t xml:space="preserve">. Zubaida Datau had passed away first, so according to the provisions of Article 185 of the </w:t>
      </w:r>
      <w:r w:rsidR="00007603">
        <w:rPr>
          <w:rFonts w:ascii="Book Antiqua" w:hAnsi="Book Antiqua" w:cs="Cambria"/>
          <w:bCs/>
          <w:sz w:val="24"/>
        </w:rPr>
        <w:t>ILC</w:t>
      </w:r>
      <w:r w:rsidRPr="00AD14D5">
        <w:rPr>
          <w:rFonts w:ascii="Book Antiqua" w:hAnsi="Book Antiqua" w:cs="Cambria"/>
          <w:bCs/>
          <w:sz w:val="24"/>
        </w:rPr>
        <w:t xml:space="preserve">, the late. Zubaida Datau can be replaced by his son consisting of the late. Stin Ismail, Eri </w:t>
      </w:r>
      <w:r w:rsidR="00766E78">
        <w:rPr>
          <w:rFonts w:ascii="Book Antiqua" w:hAnsi="Book Antiqua" w:cs="Cambria"/>
          <w:bCs/>
          <w:sz w:val="24"/>
          <w:lang w:val="id-ID"/>
        </w:rPr>
        <w:t>Ismail</w:t>
      </w:r>
      <w:r w:rsidRPr="00AD14D5">
        <w:rPr>
          <w:rFonts w:ascii="Book Antiqua" w:hAnsi="Book Antiqua" w:cs="Cambria"/>
          <w:bCs/>
          <w:sz w:val="24"/>
        </w:rPr>
        <w:t>, Ardjuna Ismail, and Arni Ismail. In addition, all proposed heirs and substitute heirs are Muslims as stated in the identity of the case decision no. 132/Pdt.P/2019/PA.Gtlo.</w:t>
      </w:r>
    </w:p>
    <w:p w14:paraId="5B05E7F5" w14:textId="1B01310E" w:rsidR="00B01B52" w:rsidRPr="00AD14D5" w:rsidRDefault="00B01B52"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Due to the heirs in the name of the late. Kamaria Datau has passed away, so his </w:t>
      </w:r>
      <w:r w:rsidR="006949B8">
        <w:rPr>
          <w:rFonts w:ascii="Book Antiqua" w:hAnsi="Book Antiqua" w:cs="Cambria"/>
          <w:bCs/>
          <w:sz w:val="24"/>
          <w:lang w:val="id-ID"/>
        </w:rPr>
        <w:t>son can replace his position</w:t>
      </w:r>
      <w:r w:rsidRPr="00AD14D5">
        <w:rPr>
          <w:rFonts w:ascii="Book Antiqua" w:hAnsi="Book Antiqua" w:cs="Cambria"/>
          <w:bCs/>
          <w:sz w:val="24"/>
        </w:rPr>
        <w:t xml:space="preserve">. Likewise with </w:t>
      </w:r>
      <w:r w:rsidR="00766E78">
        <w:rPr>
          <w:rFonts w:ascii="Book Antiqua" w:hAnsi="Book Antiqua" w:cs="Cambria"/>
          <w:bCs/>
          <w:sz w:val="24"/>
          <w:lang w:val="id-ID"/>
        </w:rPr>
        <w:t>Alma</w:t>
      </w:r>
      <w:r w:rsidRPr="00AD14D5">
        <w:rPr>
          <w:rFonts w:ascii="Book Antiqua" w:hAnsi="Book Antiqua" w:cs="Cambria"/>
          <w:bCs/>
          <w:sz w:val="24"/>
        </w:rPr>
        <w:t xml:space="preserve">. Zubaida Datau had passed away first, so according to the provisions of Article 185 of the </w:t>
      </w:r>
      <w:r w:rsidR="00007603">
        <w:rPr>
          <w:rFonts w:ascii="Book Antiqua" w:hAnsi="Book Antiqua" w:cs="Cambria"/>
          <w:bCs/>
          <w:sz w:val="24"/>
        </w:rPr>
        <w:t>ILC</w:t>
      </w:r>
      <w:r w:rsidRPr="00AD14D5">
        <w:rPr>
          <w:rFonts w:ascii="Book Antiqua" w:hAnsi="Book Antiqua" w:cs="Cambria"/>
          <w:bCs/>
          <w:sz w:val="24"/>
        </w:rPr>
        <w:t xml:space="preserve">, the late. Zubaida Datau can be replaced by his son consisting of the late. Stin Ismail, Eri </w:t>
      </w:r>
      <w:r w:rsidR="00766E78">
        <w:rPr>
          <w:rFonts w:ascii="Book Antiqua" w:hAnsi="Book Antiqua" w:cs="Cambria"/>
          <w:bCs/>
          <w:sz w:val="24"/>
          <w:lang w:val="id-ID"/>
        </w:rPr>
        <w:t>Ismail</w:t>
      </w:r>
      <w:r w:rsidRPr="00AD14D5">
        <w:rPr>
          <w:rFonts w:ascii="Book Antiqua" w:hAnsi="Book Antiqua" w:cs="Cambria"/>
          <w:bCs/>
          <w:sz w:val="24"/>
        </w:rPr>
        <w:t>, Ardjuna Ismail, and Arni Ismail. In addition, all proposed heirs and substitute heirs are Muslims as stated in the identity of the case decision no. 132/Pdt.P/2019/PA.Gtlo.</w:t>
      </w:r>
    </w:p>
    <w:p w14:paraId="0CA07E78" w14:textId="47488B14" w:rsidR="00B01B52" w:rsidRPr="00AD14D5" w:rsidRDefault="00B01B52"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In the application submitted, the applicant also asked the panel of judges that the successor heirs of the deceased. Stin Ismail is Ucon Rahim and Tirjanto Rahim, because the late. Stin Ismail has passed away. Referring to the provisions of Article 185 of the </w:t>
      </w:r>
      <w:r w:rsidR="00007603">
        <w:rPr>
          <w:rFonts w:ascii="Book Antiqua" w:hAnsi="Book Antiqua" w:cs="Cambria"/>
          <w:bCs/>
          <w:sz w:val="24"/>
        </w:rPr>
        <w:t>ILC</w:t>
      </w:r>
      <w:r w:rsidRPr="00AD14D5">
        <w:rPr>
          <w:rFonts w:ascii="Book Antiqua" w:hAnsi="Book Antiqua" w:cs="Cambria"/>
          <w:bCs/>
          <w:sz w:val="24"/>
        </w:rPr>
        <w:t>, the two people, namely Ucon Rahim and Trijanto Rahim, are eligible to become substitute heirs of the late. Stin Ismail. It is certainly understandable that the heirs and substitute heirs requested to be determined by the assembly can be granted if the land which is the object belongs to the late. Saini Datau.</w:t>
      </w:r>
    </w:p>
    <w:p w14:paraId="04207A9E" w14:textId="2B486F91" w:rsidR="00B01B52" w:rsidRPr="00AD14D5" w:rsidRDefault="00B01B52"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In the facts of the trial that was held, it was found that the land </w:t>
      </w:r>
      <w:r w:rsidR="00766E78">
        <w:rPr>
          <w:rFonts w:ascii="Book Antiqua" w:hAnsi="Book Antiqua" w:cs="Cambria"/>
          <w:bCs/>
          <w:sz w:val="24"/>
          <w:lang w:val="id-ID"/>
        </w:rPr>
        <w:t xml:space="preserve">was </w:t>
      </w:r>
      <w:r w:rsidRPr="00AD14D5">
        <w:rPr>
          <w:rFonts w:ascii="Book Antiqua" w:hAnsi="Book Antiqua" w:cs="Cambria"/>
          <w:bCs/>
          <w:sz w:val="24"/>
        </w:rPr>
        <w:t xml:space="preserve">in the name of the late Alm. Saini Datau is the property of the late. Kamaria Datau. This of course indicates that the application submitted can not be continued because there is a dispute in it between the heirs of the deceased. Zubaidah Datau and the late. Kamaria Datau. This is also cained case No. </w:t>
      </w:r>
      <w:r w:rsidR="00766E78">
        <w:rPr>
          <w:rFonts w:ascii="Book Antiqua" w:hAnsi="Book Antiqua" w:cs="Cambria"/>
          <w:bCs/>
          <w:sz w:val="24"/>
          <w:lang w:val="id-ID"/>
        </w:rPr>
        <w:t xml:space="preserve">in </w:t>
      </w:r>
      <w:r w:rsidRPr="00AD14D5">
        <w:rPr>
          <w:rFonts w:ascii="Book Antiqua" w:hAnsi="Book Antiqua" w:cs="Cambria"/>
          <w:bCs/>
          <w:sz w:val="24"/>
        </w:rPr>
        <w:t>132/Pdt.P/2019/PA.</w:t>
      </w:r>
      <w:r w:rsidR="00766E78">
        <w:rPr>
          <w:rFonts w:ascii="Book Antiqua" w:hAnsi="Book Antiqua" w:cs="Cambria"/>
          <w:bCs/>
          <w:sz w:val="24"/>
          <w:lang w:val="id-ID"/>
        </w:rPr>
        <w:t xml:space="preserve"> </w:t>
      </w:r>
      <w:r w:rsidRPr="00AD14D5">
        <w:rPr>
          <w:rFonts w:ascii="Book Antiqua" w:hAnsi="Book Antiqua" w:cs="Cambria"/>
          <w:bCs/>
          <w:sz w:val="24"/>
        </w:rPr>
        <w:t>Gtlo. The point s, if the plot of land referred to is the property of the late. Kamaria Datau, then those who are entitled to become heirs are the children of the late. Kamaria Datau, namely Etty Muchsin Datau bint Kasim Muchsin (daughter of the deceased); Kadir Muchsin bin Kasim Muchsin (son of the late).</w:t>
      </w:r>
    </w:p>
    <w:p w14:paraId="6D0CBBA3" w14:textId="0452445B" w:rsidR="00B01B52" w:rsidRPr="00AD14D5" w:rsidRDefault="00B01B52" w:rsidP="004B3D44">
      <w:pPr>
        <w:spacing w:before="240" w:after="240" w:line="276" w:lineRule="auto"/>
        <w:ind w:left="0"/>
        <w:rPr>
          <w:rFonts w:ascii="Book Antiqua" w:hAnsi="Book Antiqua" w:cs="Cambria"/>
          <w:bCs/>
          <w:sz w:val="24"/>
          <w:lang w:val="id-ID"/>
        </w:rPr>
      </w:pPr>
      <w:r w:rsidRPr="00AD14D5">
        <w:rPr>
          <w:rFonts w:ascii="Book Antiqua" w:hAnsi="Book Antiqua" w:cs="Cambria"/>
          <w:bCs/>
          <w:sz w:val="24"/>
        </w:rPr>
        <w:t>The substitute heirs as proposed may not become substitute heirs because they are hindered by a direct relationship with the heir, namely the late. Kamaria Datau. Because</w:t>
      </w:r>
      <w:r w:rsidR="00766E78">
        <w:rPr>
          <w:rFonts w:ascii="Book Antiqua" w:hAnsi="Book Antiqua" w:cs="Cambria"/>
          <w:bCs/>
          <w:sz w:val="24"/>
          <w:lang w:val="id-ID"/>
        </w:rPr>
        <w:t xml:space="preserve"> of</w:t>
      </w:r>
      <w:r w:rsidRPr="00AD14D5">
        <w:rPr>
          <w:rFonts w:ascii="Book Antiqua" w:hAnsi="Book Antiqua" w:cs="Cambria"/>
          <w:bCs/>
          <w:sz w:val="24"/>
        </w:rPr>
        <w:t xml:space="preserve"> the heirs of the late. Kamaria Datau (land owner) still has </w:t>
      </w:r>
      <w:r w:rsidRPr="00AD14D5">
        <w:rPr>
          <w:rFonts w:ascii="Book Antiqua" w:hAnsi="Book Antiqua" w:cs="Cambria"/>
          <w:bCs/>
          <w:sz w:val="24"/>
        </w:rPr>
        <w:lastRenderedPageBreak/>
        <w:t xml:space="preserve">children who become direct heirs. Because, according to the provisions of Article 174 of the </w:t>
      </w:r>
      <w:r w:rsidR="00007603">
        <w:rPr>
          <w:rFonts w:ascii="Book Antiqua" w:hAnsi="Book Antiqua" w:cs="Cambria"/>
          <w:bCs/>
          <w:sz w:val="24"/>
        </w:rPr>
        <w:t>ILC</w:t>
      </w:r>
      <w:r w:rsidRPr="00AD14D5">
        <w:rPr>
          <w:rFonts w:ascii="Book Antiqua" w:hAnsi="Book Antiqua" w:cs="Cambria"/>
          <w:bCs/>
          <w:sz w:val="24"/>
        </w:rPr>
        <w:t>, those who may become heirs are the male group consisting of father, son, brother, uncle, and grandfather. As for women, they are mother, daughter, and grandmother's sister</w:t>
      </w:r>
      <w:r w:rsidRPr="00AD14D5">
        <w:rPr>
          <w:rFonts w:ascii="Book Antiqua" w:hAnsi="Book Antiqua" w:cs="Cambria"/>
          <w:bCs/>
          <w:sz w:val="24"/>
          <w:lang w:val="id-ID"/>
        </w:rPr>
        <w:t>.</w:t>
      </w:r>
    </w:p>
    <w:p w14:paraId="1C875DEB" w14:textId="70904243"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Referring to Law no. 5 of 1960 concerning Agrarian Principles, a land certificate is legal </w:t>
      </w:r>
      <w:r w:rsidR="00766E78">
        <w:rPr>
          <w:rFonts w:ascii="Book Antiqua" w:hAnsi="Book Antiqua" w:cs="Cambria"/>
          <w:bCs/>
          <w:sz w:val="24"/>
          <w:lang w:val="id-ID"/>
        </w:rPr>
        <w:t>proof</w:t>
      </w:r>
      <w:r w:rsidRPr="00AD14D5">
        <w:rPr>
          <w:rFonts w:ascii="Book Antiqua" w:hAnsi="Book Antiqua" w:cs="Cambria"/>
          <w:bCs/>
          <w:sz w:val="24"/>
        </w:rPr>
        <w:t xml:space="preserve"> of a person's ownership of a piece of land. In addition, referring to PP No. 24 of 1997 concerning Land Registration, land certificates can be used as concrete evidence in the event of a dispute in the future. Therefore, if you look at the facts, the plot of land that is requested to be determined by the applicants regarding who is the heir and substitute heir, the panel of judges when examining the case should call the relevant parties such as from the National Land Agency (BPN) to be asked for information or testimony </w:t>
      </w:r>
      <w:r w:rsidR="006949B8">
        <w:rPr>
          <w:rFonts w:ascii="Book Antiqua" w:hAnsi="Book Antiqua" w:cs="Cambria"/>
          <w:bCs/>
          <w:sz w:val="24"/>
          <w:lang w:val="id-ID"/>
        </w:rPr>
        <w:t>to</w:t>
      </w:r>
      <w:r w:rsidR="00766E78">
        <w:rPr>
          <w:rFonts w:ascii="Book Antiqua" w:hAnsi="Book Antiqua" w:cs="Cambria"/>
          <w:bCs/>
          <w:sz w:val="24"/>
          <w:lang w:val="id-ID"/>
        </w:rPr>
        <w:t xml:space="preserve"> assess</w:t>
      </w:r>
      <w:r w:rsidRPr="00AD14D5">
        <w:rPr>
          <w:rFonts w:ascii="Book Antiqua" w:hAnsi="Book Antiqua" w:cs="Cambria"/>
          <w:bCs/>
          <w:sz w:val="24"/>
        </w:rPr>
        <w:t xml:space="preserve"> whether it is true that the registered land belongs to the late. Saini Datau or the late. Kamaria Datau.</w:t>
      </w:r>
    </w:p>
    <w:p w14:paraId="102AC409" w14:textId="212922BC"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The principle is that land certificates have a clear position to be used as evidence as stated in Article 19 of the </w:t>
      </w:r>
      <w:r w:rsidR="00766E78">
        <w:rPr>
          <w:rFonts w:ascii="Book Antiqua" w:hAnsi="Book Antiqua" w:cs="Cambria"/>
          <w:bCs/>
          <w:sz w:val="24"/>
          <w:lang w:val="id-ID"/>
        </w:rPr>
        <w:t>Logga</w:t>
      </w:r>
      <w:r w:rsidRPr="00AD14D5">
        <w:rPr>
          <w:rFonts w:ascii="Book Antiqua" w:hAnsi="Book Antiqua" w:cs="Cambria"/>
          <w:bCs/>
          <w:sz w:val="24"/>
        </w:rPr>
        <w:t xml:space="preserve">. Furthermore, the validity of the land certificate can also be determined by the judge as the party examining a case concerning land and its </w:t>
      </w:r>
      <w:r w:rsidR="00766E78">
        <w:rPr>
          <w:rFonts w:ascii="Book Antiqua" w:hAnsi="Book Antiqua" w:cs="Cambria"/>
          <w:bCs/>
          <w:sz w:val="24"/>
          <w:lang w:val="id-ID"/>
        </w:rPr>
        <w:t>certification</w:t>
      </w:r>
      <w:r w:rsidRPr="00AD14D5">
        <w:rPr>
          <w:rFonts w:ascii="Book Antiqua" w:hAnsi="Book Antiqua" w:cs="Cambria"/>
          <w:bCs/>
          <w:sz w:val="24"/>
        </w:rPr>
        <w:t xml:space="preserve">. Therefore, it is important for parties </w:t>
      </w:r>
      <w:r w:rsidR="00766E78">
        <w:rPr>
          <w:rFonts w:ascii="Book Antiqua" w:hAnsi="Book Antiqua" w:cs="Cambria"/>
          <w:bCs/>
          <w:sz w:val="24"/>
          <w:lang w:val="id-ID"/>
        </w:rPr>
        <w:t>interested</w:t>
      </w:r>
      <w:r w:rsidRPr="00AD14D5">
        <w:rPr>
          <w:rFonts w:ascii="Book Antiqua" w:hAnsi="Book Antiqua" w:cs="Cambria"/>
          <w:bCs/>
          <w:sz w:val="24"/>
        </w:rPr>
        <w:t xml:space="preserve"> in presenting witnesses from the BPN </w:t>
      </w:r>
      <w:r w:rsidR="00766E78">
        <w:rPr>
          <w:rFonts w:ascii="Book Antiqua" w:hAnsi="Book Antiqua" w:cs="Cambria"/>
          <w:bCs/>
          <w:sz w:val="24"/>
          <w:lang w:val="id-ID"/>
        </w:rPr>
        <w:t>to</w:t>
      </w:r>
      <w:r w:rsidRPr="00AD14D5">
        <w:rPr>
          <w:rFonts w:ascii="Book Antiqua" w:hAnsi="Book Antiqua" w:cs="Cambria"/>
          <w:bCs/>
          <w:sz w:val="24"/>
        </w:rPr>
        <w:t xml:space="preserve"> resolve the problems that occur, especially in cases with No. 132/Pdt.P/2019/PA.</w:t>
      </w:r>
      <w:r w:rsidR="00766E78">
        <w:rPr>
          <w:rFonts w:ascii="Book Antiqua" w:hAnsi="Book Antiqua" w:cs="Cambria"/>
          <w:bCs/>
          <w:sz w:val="24"/>
          <w:lang w:val="id-ID"/>
        </w:rPr>
        <w:t xml:space="preserve"> </w:t>
      </w:r>
      <w:r w:rsidRPr="00AD14D5">
        <w:rPr>
          <w:rFonts w:ascii="Book Antiqua" w:hAnsi="Book Antiqua" w:cs="Cambria"/>
          <w:bCs/>
          <w:sz w:val="24"/>
        </w:rPr>
        <w:t>Gtlo.</w:t>
      </w:r>
    </w:p>
    <w:p w14:paraId="53AF4192" w14:textId="11E74BC3" w:rsidR="00D3254B"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 xml:space="preserve">The Gorontalo PA judges who examined and tried case No. 132/Pdt.P/2019/PA.Gtlo, which stipulates that the case cannot be accepted with legal reasons and considerations in the case, one of which is whether the substitute heir is entitled and appropriate to replace the position of his parents, needs to be studied more deeply. Because, if you refer to the genealogy of the applicant's family, and it is related to the provisions and formulations contained in the </w:t>
      </w:r>
      <w:r w:rsidR="00007603">
        <w:rPr>
          <w:rFonts w:ascii="Book Antiqua" w:hAnsi="Book Antiqua" w:cs="Cambria"/>
          <w:bCs/>
          <w:sz w:val="24"/>
        </w:rPr>
        <w:t>ILC</w:t>
      </w:r>
      <w:r w:rsidRPr="00AD14D5">
        <w:rPr>
          <w:rFonts w:ascii="Book Antiqua" w:hAnsi="Book Antiqua" w:cs="Cambria"/>
          <w:bCs/>
          <w:sz w:val="24"/>
        </w:rPr>
        <w:t xml:space="preserve">, this question should not be used as an excuse because it is clear that the successor heirs consist of the children and grandchildren of the deceased. Zubaida Datau is the rightful person (heir) of the late. Saini Datau according to the provisions of </w:t>
      </w:r>
      <w:r w:rsidR="00007603">
        <w:rPr>
          <w:rFonts w:ascii="Book Antiqua" w:hAnsi="Book Antiqua" w:cs="Cambria"/>
          <w:bCs/>
          <w:sz w:val="24"/>
        </w:rPr>
        <w:t>ILC</w:t>
      </w:r>
      <w:r w:rsidRPr="00AD14D5">
        <w:rPr>
          <w:rFonts w:ascii="Book Antiqua" w:hAnsi="Book Antiqua" w:cs="Cambria"/>
          <w:bCs/>
          <w:sz w:val="24"/>
        </w:rPr>
        <w:t xml:space="preserve"> Article 171 letter c.</w:t>
      </w:r>
    </w:p>
    <w:p w14:paraId="05734FA4" w14:textId="42264F0D" w:rsidR="00D3254B" w:rsidRPr="00AD14D5" w:rsidRDefault="00B01B52" w:rsidP="004B3D44">
      <w:pPr>
        <w:spacing w:before="240" w:after="240" w:line="276" w:lineRule="auto"/>
        <w:ind w:left="0"/>
        <w:rPr>
          <w:rFonts w:ascii="Book Antiqua" w:hAnsi="Book Antiqua" w:cs="Cambria"/>
          <w:bCs/>
          <w:sz w:val="24"/>
        </w:rPr>
      </w:pPr>
      <w:r w:rsidRPr="00AD14D5">
        <w:rPr>
          <w:rFonts w:ascii="Book Antiqua" w:hAnsi="Book Antiqua" w:cs="Cambria"/>
          <w:bCs/>
          <w:sz w:val="24"/>
          <w:lang w:val="id-ID"/>
        </w:rPr>
        <w:t xml:space="preserve">Silver </w:t>
      </w:r>
      <w:r w:rsidR="00D3254B" w:rsidRPr="00AD14D5">
        <w:rPr>
          <w:rFonts w:ascii="Book Antiqua" w:hAnsi="Book Antiqua" w:cs="Cambria"/>
          <w:bCs/>
          <w:sz w:val="24"/>
        </w:rPr>
        <w:t>application with No. 132/Pdt.P/2019/PA.</w:t>
      </w:r>
      <w:r w:rsidR="00766E78">
        <w:rPr>
          <w:rFonts w:ascii="Book Antiqua" w:hAnsi="Book Antiqua" w:cs="Cambria"/>
          <w:bCs/>
          <w:sz w:val="24"/>
          <w:lang w:val="id-ID"/>
        </w:rPr>
        <w:t xml:space="preserve"> </w:t>
      </w:r>
      <w:r w:rsidR="00D3254B" w:rsidRPr="00AD14D5">
        <w:rPr>
          <w:rFonts w:ascii="Book Antiqua" w:hAnsi="Book Antiqua" w:cs="Cambria"/>
          <w:bCs/>
          <w:sz w:val="24"/>
        </w:rPr>
        <w:t xml:space="preserve">Gtlo submitted by the applicants should no longer be allowed to continue because it is no longer </w:t>
      </w:r>
      <w:r w:rsidR="00766E78">
        <w:rPr>
          <w:rFonts w:ascii="Book Antiqua" w:hAnsi="Book Antiqua" w:cs="Cambria"/>
          <w:bCs/>
          <w:sz w:val="24"/>
          <w:lang w:val="id-ID"/>
        </w:rPr>
        <w:t>by</w:t>
      </w:r>
      <w:r w:rsidR="00D3254B" w:rsidRPr="00AD14D5">
        <w:rPr>
          <w:rFonts w:ascii="Book Antiqua" w:hAnsi="Book Antiqua" w:cs="Cambria"/>
          <w:bCs/>
          <w:sz w:val="24"/>
        </w:rPr>
        <w:t xml:space="preserve"> the nature of the voluntary type case</w:t>
      </w:r>
      <w:r w:rsidR="00766E78">
        <w:rPr>
          <w:rFonts w:ascii="Book Antiqua" w:hAnsi="Book Antiqua" w:cs="Cambria"/>
          <w:bCs/>
          <w:sz w:val="24"/>
          <w:lang w:val="id-ID"/>
        </w:rPr>
        <w:t>. After all,</w:t>
      </w:r>
      <w:r w:rsidR="00D3254B" w:rsidRPr="00AD14D5">
        <w:rPr>
          <w:rFonts w:ascii="Book Antiqua" w:hAnsi="Book Antiqua" w:cs="Cambria"/>
          <w:bCs/>
          <w:sz w:val="24"/>
        </w:rPr>
        <w:t xml:space="preserve"> there are disputes in it. Therefore, if the parties wish to proceed about who is entitled to become heirs and substitute heirs, then the applicants can file a new </w:t>
      </w:r>
      <w:r w:rsidR="00766E78">
        <w:rPr>
          <w:rFonts w:ascii="Book Antiqua" w:hAnsi="Book Antiqua" w:cs="Cambria"/>
          <w:bCs/>
          <w:sz w:val="24"/>
          <w:lang w:val="id-ID"/>
        </w:rPr>
        <w:t>to</w:t>
      </w:r>
      <w:r w:rsidR="00D3254B" w:rsidRPr="00AD14D5">
        <w:rPr>
          <w:rFonts w:ascii="Book Antiqua" w:hAnsi="Book Antiqua" w:cs="Cambria"/>
          <w:bCs/>
          <w:sz w:val="24"/>
        </w:rPr>
        <w:t xml:space="preserve"> see and find out who </w:t>
      </w:r>
      <w:r w:rsidR="00D3254B" w:rsidRPr="00AD14D5">
        <w:rPr>
          <w:rFonts w:ascii="Book Antiqua" w:hAnsi="Book Antiqua" w:cs="Cambria"/>
          <w:bCs/>
          <w:sz w:val="24"/>
        </w:rPr>
        <w:lastRenderedPageBreak/>
        <w:t>is entitled to become heirs and substitute heirs of the land disputed by the applicants.</w:t>
      </w:r>
    </w:p>
    <w:p w14:paraId="6A729CE4" w14:textId="7FA3A7AC" w:rsidR="00AD14D5" w:rsidRPr="00AD14D5" w:rsidRDefault="00D3254B" w:rsidP="004B3D44">
      <w:pPr>
        <w:spacing w:before="240" w:after="240" w:line="276" w:lineRule="auto"/>
        <w:ind w:left="0"/>
        <w:rPr>
          <w:rFonts w:ascii="Book Antiqua" w:hAnsi="Book Antiqua" w:cs="Cambria"/>
          <w:bCs/>
          <w:sz w:val="24"/>
        </w:rPr>
      </w:pPr>
      <w:r w:rsidRPr="00AD14D5">
        <w:rPr>
          <w:rFonts w:ascii="Book Antiqua" w:hAnsi="Book Antiqua" w:cs="Cambria"/>
          <w:bCs/>
          <w:sz w:val="24"/>
        </w:rPr>
        <w:t>Even so, the reason for the panel of judges to declare the case as intended cannot be accepted</w:t>
      </w:r>
      <w:r w:rsidR="006949B8">
        <w:rPr>
          <w:rFonts w:ascii="Book Antiqua" w:hAnsi="Book Antiqua" w:cs="Cambria"/>
          <w:bCs/>
          <w:sz w:val="24"/>
          <w:lang w:val="id-ID"/>
        </w:rPr>
        <w:t>. There</w:t>
      </w:r>
      <w:r w:rsidRPr="00AD14D5">
        <w:rPr>
          <w:rFonts w:ascii="Book Antiqua" w:hAnsi="Book Antiqua" w:cs="Cambria"/>
          <w:bCs/>
          <w:sz w:val="24"/>
        </w:rPr>
        <w:t xml:space="preserve"> is a dispute in it, the panel of judges</w:t>
      </w:r>
      <w:r w:rsidR="00B01B52" w:rsidRPr="00AD14D5">
        <w:rPr>
          <w:rFonts w:ascii="Book Antiqua" w:hAnsi="Book Antiqua" w:cs="Cambria"/>
          <w:bCs/>
          <w:sz w:val="24"/>
          <w:lang w:val="id-ID"/>
        </w:rPr>
        <w:t xml:space="preserve"> </w:t>
      </w:r>
      <w:r w:rsidRPr="00AD14D5">
        <w:rPr>
          <w:rFonts w:ascii="Book Antiqua" w:hAnsi="Book Antiqua" w:cs="Cambria"/>
          <w:bCs/>
          <w:sz w:val="24"/>
        </w:rPr>
        <w:t xml:space="preserve">who examine the case should still consider the position of the parties who want to be asked for as replacement heirs, because according to the provisions in the </w:t>
      </w:r>
      <w:r w:rsidR="00007603">
        <w:rPr>
          <w:rFonts w:ascii="Book Antiqua" w:hAnsi="Book Antiqua" w:cs="Cambria"/>
          <w:bCs/>
          <w:sz w:val="24"/>
        </w:rPr>
        <w:t>ILC</w:t>
      </w:r>
      <w:r w:rsidRPr="00AD14D5">
        <w:rPr>
          <w:rFonts w:ascii="Book Antiqua" w:hAnsi="Book Antiqua" w:cs="Cambria"/>
          <w:bCs/>
          <w:sz w:val="24"/>
        </w:rPr>
        <w:t>, the proposed parties may become substitute heirs.</w:t>
      </w:r>
    </w:p>
    <w:p w14:paraId="275E09CD" w14:textId="77777777" w:rsidR="004F0EAE" w:rsidRPr="00AD14D5" w:rsidRDefault="004F0EAE" w:rsidP="004B3D44">
      <w:pPr>
        <w:pStyle w:val="ListParagraph"/>
        <w:numPr>
          <w:ilvl w:val="0"/>
          <w:numId w:val="7"/>
        </w:numPr>
        <w:spacing w:before="240" w:after="240"/>
        <w:ind w:left="284" w:hanging="284"/>
        <w:contextualSpacing w:val="0"/>
        <w:rPr>
          <w:rFonts w:ascii="Book Antiqua" w:hAnsi="Book Antiqua" w:cs="Cambria"/>
          <w:b/>
          <w:color w:val="C00000"/>
          <w:sz w:val="24"/>
          <w:szCs w:val="24"/>
        </w:rPr>
      </w:pPr>
      <w:r w:rsidRPr="00AD14D5">
        <w:rPr>
          <w:rFonts w:ascii="Book Antiqua" w:hAnsi="Book Antiqua" w:cs="Cambria"/>
          <w:b/>
          <w:color w:val="C00000"/>
          <w:sz w:val="28"/>
          <w:szCs w:val="24"/>
        </w:rPr>
        <w:t>Conclusion</w:t>
      </w:r>
    </w:p>
    <w:p w14:paraId="5DAACC98" w14:textId="5E1C52DC" w:rsidR="00734407" w:rsidRPr="00AD14D5" w:rsidRDefault="00734407" w:rsidP="004B3D44">
      <w:pPr>
        <w:pStyle w:val="ListParagraph"/>
        <w:spacing w:before="240" w:after="240"/>
        <w:ind w:left="0"/>
        <w:contextualSpacing w:val="0"/>
        <w:jc w:val="both"/>
        <w:rPr>
          <w:rFonts w:ascii="Book Antiqua" w:hAnsi="Book Antiqua" w:cs="Cambria"/>
          <w:bCs/>
          <w:sz w:val="24"/>
          <w:szCs w:val="24"/>
          <w:lang w:val="id-ID"/>
        </w:rPr>
      </w:pPr>
      <w:r w:rsidRPr="00AD14D5">
        <w:rPr>
          <w:rFonts w:ascii="Book Antiqua" w:hAnsi="Book Antiqua" w:cs="Cambria"/>
          <w:bCs/>
          <w:sz w:val="24"/>
          <w:szCs w:val="24"/>
        </w:rPr>
        <w:t xml:space="preserve">Based on the results of the </w:t>
      </w:r>
      <w:r w:rsidRPr="00AD14D5">
        <w:rPr>
          <w:rFonts w:ascii="Book Antiqua" w:hAnsi="Book Antiqua" w:cs="Cambria"/>
          <w:bCs/>
          <w:sz w:val="24"/>
          <w:szCs w:val="24"/>
          <w:lang w:val="id-ID"/>
        </w:rPr>
        <w:t>above discussion</w:t>
      </w:r>
      <w:r w:rsidRPr="00AD14D5">
        <w:rPr>
          <w:rFonts w:ascii="Book Antiqua" w:hAnsi="Book Antiqua" w:cs="Cambria"/>
          <w:bCs/>
          <w:sz w:val="24"/>
          <w:szCs w:val="24"/>
        </w:rPr>
        <w:t xml:space="preserve">, it can be concluded </w:t>
      </w:r>
      <w:r w:rsidRPr="00AD14D5">
        <w:rPr>
          <w:rFonts w:ascii="Book Antiqua" w:hAnsi="Book Antiqua" w:cs="Cambria"/>
          <w:bCs/>
          <w:sz w:val="24"/>
          <w:szCs w:val="24"/>
          <w:lang w:val="id-ID"/>
        </w:rPr>
        <w:t>that the replacement heirs proposed by the applicants in case no. 132/Pdt.P/2019/PA.Gtlo from the late. Zubaida Datau may become a substitute heir based on the provisions formulated in the Compilation of Islamic Law (</w:t>
      </w:r>
      <w:r w:rsidR="00007603">
        <w:rPr>
          <w:rFonts w:ascii="Book Antiqua" w:hAnsi="Book Antiqua" w:cs="Cambria"/>
          <w:bCs/>
          <w:sz w:val="24"/>
          <w:szCs w:val="24"/>
          <w:lang w:val="id-ID"/>
        </w:rPr>
        <w:t>ILC</w:t>
      </w:r>
      <w:r w:rsidRPr="00AD14D5">
        <w:rPr>
          <w:rFonts w:ascii="Book Antiqua" w:hAnsi="Book Antiqua" w:cs="Cambria"/>
          <w:bCs/>
          <w:sz w:val="24"/>
          <w:szCs w:val="24"/>
          <w:lang w:val="id-ID"/>
        </w:rPr>
        <w:t>), provided that the plot of land is the property of the late. Saini Datau. Legal considerations of the panel of judges examining case No. 132/Pdt.P/2019/PA.</w:t>
      </w:r>
      <w:r w:rsidR="006949B8">
        <w:rPr>
          <w:rFonts w:ascii="Book Antiqua" w:hAnsi="Book Antiqua" w:cs="Cambria"/>
          <w:bCs/>
          <w:sz w:val="24"/>
          <w:szCs w:val="24"/>
          <w:lang w:val="id-ID"/>
        </w:rPr>
        <w:t xml:space="preserve"> </w:t>
      </w:r>
      <w:r w:rsidRPr="00AD14D5">
        <w:rPr>
          <w:rFonts w:ascii="Book Antiqua" w:hAnsi="Book Antiqua" w:cs="Cambria"/>
          <w:bCs/>
          <w:sz w:val="24"/>
          <w:szCs w:val="24"/>
          <w:lang w:val="id-ID"/>
        </w:rPr>
        <w:t>Gtlo</w:t>
      </w:r>
      <w:r w:rsidR="006949B8" w:rsidRPr="006949B8">
        <w:rPr>
          <w:rFonts w:ascii="Book Antiqua" w:hAnsi="Book Antiqua" w:cs="Cambria"/>
          <w:bCs/>
          <w:sz w:val="24"/>
          <w:szCs w:val="24"/>
          <w:lang w:val="id-ID"/>
        </w:rPr>
        <w:t>, where the case is declared unacceptable,</w:t>
      </w:r>
      <w:r w:rsidRPr="00AD14D5">
        <w:rPr>
          <w:rFonts w:ascii="Book Antiqua" w:hAnsi="Book Antiqua" w:cs="Cambria"/>
          <w:bCs/>
          <w:sz w:val="24"/>
          <w:szCs w:val="24"/>
          <w:lang w:val="id-ID"/>
        </w:rPr>
        <w:t xml:space="preserve"> </w:t>
      </w:r>
      <w:r w:rsidR="00537B6F" w:rsidRPr="00AD14D5">
        <w:rPr>
          <w:rFonts w:ascii="Book Antiqua" w:hAnsi="Book Antiqua" w:cs="Cambria"/>
          <w:bCs/>
          <w:sz w:val="24"/>
          <w:szCs w:val="24"/>
          <w:lang w:val="id-ID"/>
        </w:rPr>
        <w:t xml:space="preserve">is that </w:t>
      </w:r>
      <w:r w:rsidR="006949B8">
        <w:rPr>
          <w:rFonts w:ascii="Book Antiqua" w:hAnsi="Book Antiqua" w:cs="Cambria"/>
          <w:bCs/>
          <w:sz w:val="24"/>
          <w:szCs w:val="24"/>
          <w:lang w:val="id-ID"/>
        </w:rPr>
        <w:t>it</w:t>
      </w:r>
      <w:r w:rsidR="00537B6F" w:rsidRPr="00AD14D5">
        <w:rPr>
          <w:rFonts w:ascii="Book Antiqua" w:hAnsi="Book Antiqua" w:cs="Cambria"/>
          <w:bCs/>
          <w:sz w:val="24"/>
          <w:szCs w:val="24"/>
          <w:lang w:val="id-ID"/>
        </w:rPr>
        <w:t xml:space="preserve"> is unclear/fuzzy, no longer </w:t>
      </w:r>
      <w:r w:rsidR="00766E78">
        <w:rPr>
          <w:rFonts w:ascii="Book Antiqua" w:hAnsi="Book Antiqua" w:cs="Cambria"/>
          <w:bCs/>
          <w:sz w:val="24"/>
          <w:szCs w:val="24"/>
          <w:lang w:val="id-ID"/>
        </w:rPr>
        <w:t>voluntary</w:t>
      </w:r>
      <w:r w:rsidR="00537B6F" w:rsidRPr="00AD14D5">
        <w:rPr>
          <w:rFonts w:ascii="Book Antiqua" w:hAnsi="Book Antiqua" w:cs="Cambria"/>
          <w:bCs/>
          <w:sz w:val="24"/>
          <w:szCs w:val="24"/>
          <w:lang w:val="id-ID"/>
        </w:rPr>
        <w:t>, but a contentious case, because it contains a dispute between the heirs of the deceased's heirs. Kamaria Datau, and the late. Zubaida Datau.</w:t>
      </w:r>
      <w:r w:rsidRPr="00AD14D5">
        <w:rPr>
          <w:rFonts w:ascii="Book Antiqua" w:hAnsi="Book Antiqua"/>
        </w:rPr>
        <w:t xml:space="preserve"> </w:t>
      </w:r>
      <w:r w:rsidRPr="00AD14D5">
        <w:rPr>
          <w:rFonts w:ascii="Book Antiqua" w:hAnsi="Book Antiqua" w:cs="Cambria"/>
          <w:bCs/>
          <w:sz w:val="24"/>
          <w:szCs w:val="24"/>
          <w:lang w:val="id-ID"/>
        </w:rPr>
        <w:t xml:space="preserve">The suggestion to be submitted by the researcher is that the panel of judges in each PA who wants to examine and adjudicate the case referred to (substitute heir dispute), should refer to which article in the </w:t>
      </w:r>
      <w:r w:rsidR="00007603">
        <w:rPr>
          <w:rFonts w:ascii="Book Antiqua" w:hAnsi="Book Antiqua" w:cs="Cambria"/>
          <w:bCs/>
          <w:sz w:val="24"/>
          <w:szCs w:val="24"/>
          <w:lang w:val="id-ID"/>
        </w:rPr>
        <w:t>ILC</w:t>
      </w:r>
      <w:r w:rsidRPr="00AD14D5">
        <w:rPr>
          <w:rFonts w:ascii="Book Antiqua" w:hAnsi="Book Antiqua" w:cs="Cambria"/>
          <w:bCs/>
          <w:sz w:val="24"/>
          <w:szCs w:val="24"/>
          <w:lang w:val="id-ID"/>
        </w:rPr>
        <w:t>, and must be made clear in the decision that formulates that a person may or may not be a successor.</w:t>
      </w:r>
    </w:p>
    <w:p w14:paraId="7C77DC39" w14:textId="555EB380" w:rsidR="004F0EAE" w:rsidRDefault="004F0EAE" w:rsidP="00D85C74">
      <w:pPr>
        <w:ind w:left="0"/>
        <w:rPr>
          <w:rFonts w:ascii="Book Antiqua" w:hAnsi="Book Antiqua" w:cs="Cambria"/>
          <w:sz w:val="24"/>
          <w:szCs w:val="24"/>
        </w:rPr>
      </w:pPr>
    </w:p>
    <w:p w14:paraId="2D191616" w14:textId="77777777" w:rsidR="0018486C" w:rsidRPr="00AD14D5" w:rsidRDefault="0018486C" w:rsidP="00D85C74">
      <w:pPr>
        <w:ind w:left="0"/>
        <w:rPr>
          <w:rFonts w:ascii="Book Antiqua" w:hAnsi="Book Antiqua" w:cs="Cambria"/>
          <w:sz w:val="24"/>
          <w:szCs w:val="24"/>
        </w:rPr>
      </w:pPr>
    </w:p>
    <w:p w14:paraId="1D488453" w14:textId="77777777" w:rsidR="004F0EAE" w:rsidRPr="00AD14D5" w:rsidRDefault="004F0EAE" w:rsidP="00AD14D5">
      <w:pPr>
        <w:spacing w:after="240" w:line="276" w:lineRule="auto"/>
        <w:ind w:left="0"/>
        <w:jc w:val="center"/>
        <w:rPr>
          <w:rFonts w:ascii="Book Antiqua" w:hAnsi="Book Antiqua" w:cs="Cambria"/>
          <w:b/>
          <w:sz w:val="28"/>
          <w:szCs w:val="24"/>
        </w:rPr>
      </w:pPr>
      <w:r w:rsidRPr="00AD14D5">
        <w:rPr>
          <w:rFonts w:ascii="Book Antiqua" w:hAnsi="Book Antiqua" w:cs="Cambria"/>
          <w:b/>
          <w:sz w:val="28"/>
          <w:szCs w:val="24"/>
        </w:rPr>
        <w:t>Reference</w:t>
      </w:r>
    </w:p>
    <w:bookmarkEnd w:id="2"/>
    <w:bookmarkEnd w:id="3"/>
    <w:p w14:paraId="4E6D36CD" w14:textId="52A12FF9" w:rsidR="00876050" w:rsidRPr="00AD14D5" w:rsidRDefault="00876050" w:rsidP="00876050">
      <w:pPr>
        <w:pStyle w:val="FootnoteText"/>
        <w:spacing w:after="240" w:line="276" w:lineRule="auto"/>
        <w:ind w:left="709" w:hanging="709"/>
        <w:jc w:val="both"/>
        <w:rPr>
          <w:rFonts w:ascii="Book Antiqua" w:hAnsi="Book Antiqua"/>
          <w:b/>
          <w:bCs/>
          <w:i/>
          <w:iCs/>
          <w:sz w:val="24"/>
          <w:szCs w:val="24"/>
          <w:lang w:val="id-ID"/>
        </w:rPr>
      </w:pPr>
      <w:r w:rsidRPr="00AD14D5">
        <w:rPr>
          <w:rFonts w:ascii="Book Antiqua" w:hAnsi="Book Antiqua"/>
          <w:b/>
          <w:bCs/>
          <w:i/>
          <w:iCs/>
          <w:sz w:val="24"/>
          <w:szCs w:val="24"/>
          <w:lang w:val="id-ID"/>
        </w:rPr>
        <w:t>B</w:t>
      </w:r>
      <w:r w:rsidR="00154C4D">
        <w:rPr>
          <w:rFonts w:ascii="Book Antiqua" w:hAnsi="Book Antiqua"/>
          <w:b/>
          <w:bCs/>
          <w:i/>
          <w:iCs/>
          <w:sz w:val="24"/>
          <w:szCs w:val="24"/>
          <w:lang w:val="id-ID"/>
        </w:rPr>
        <w:t>ook</w:t>
      </w:r>
      <w:r w:rsidRPr="00AD14D5">
        <w:rPr>
          <w:rFonts w:ascii="Book Antiqua" w:hAnsi="Book Antiqua"/>
          <w:b/>
          <w:bCs/>
          <w:i/>
          <w:iCs/>
          <w:sz w:val="24"/>
          <w:szCs w:val="24"/>
          <w:lang w:val="id-ID"/>
        </w:rPr>
        <w:t>:</w:t>
      </w:r>
    </w:p>
    <w:p w14:paraId="4EDC2CA4"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 xml:space="preserve">Abdul Aziz. 2021. </w:t>
      </w:r>
      <w:r w:rsidRPr="00AD14D5">
        <w:rPr>
          <w:rFonts w:ascii="Book Antiqua" w:hAnsi="Book Antiqua"/>
          <w:i/>
          <w:color w:val="000000"/>
          <w:sz w:val="24"/>
          <w:szCs w:val="24"/>
        </w:rPr>
        <w:t>Konsep Ahli Waris Pengganti.</w:t>
      </w:r>
      <w:r w:rsidRPr="00AD14D5">
        <w:rPr>
          <w:rFonts w:ascii="Book Antiqua" w:hAnsi="Book Antiqua"/>
          <w:color w:val="000000"/>
          <w:sz w:val="24"/>
          <w:szCs w:val="24"/>
        </w:rPr>
        <w:t xml:space="preserve"> Surabaya: Global Aksara Press </w:t>
      </w:r>
    </w:p>
    <w:p w14:paraId="6FA96512"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 xml:space="preserve">Irma Fatmawati. 2020. </w:t>
      </w:r>
      <w:r w:rsidRPr="00AD14D5">
        <w:rPr>
          <w:rFonts w:ascii="Book Antiqua" w:hAnsi="Book Antiqua"/>
          <w:i/>
          <w:color w:val="000000"/>
          <w:sz w:val="24"/>
          <w:szCs w:val="24"/>
        </w:rPr>
        <w:t>Hukum Waris Perdata: Menerima atau Menolak Warisan oleh Ahli Waris Serta Akibat Hukumnya</w:t>
      </w:r>
      <w:r w:rsidRPr="00AD14D5">
        <w:rPr>
          <w:rFonts w:ascii="Book Antiqua" w:hAnsi="Book Antiqua"/>
          <w:color w:val="000000"/>
          <w:sz w:val="24"/>
          <w:szCs w:val="24"/>
        </w:rPr>
        <w:t>. Yogyakarta: Deepublish</w:t>
      </w:r>
    </w:p>
    <w:p w14:paraId="5097470B"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 xml:space="preserve">Maimun. 2018. </w:t>
      </w:r>
      <w:r w:rsidRPr="00AD14D5">
        <w:rPr>
          <w:rFonts w:ascii="Book Antiqua" w:hAnsi="Book Antiqua"/>
          <w:i/>
          <w:color w:val="000000"/>
          <w:sz w:val="24"/>
          <w:szCs w:val="24"/>
        </w:rPr>
        <w:t>Hukum Waris: Prespektif Islam dan Adat</w:t>
      </w:r>
      <w:r w:rsidRPr="00AD14D5">
        <w:rPr>
          <w:rFonts w:ascii="Book Antiqua" w:hAnsi="Book Antiqua"/>
          <w:color w:val="000000"/>
          <w:sz w:val="24"/>
          <w:szCs w:val="24"/>
        </w:rPr>
        <w:t>. Pamekasan: Duta Media</w:t>
      </w:r>
    </w:p>
    <w:p w14:paraId="568D533A"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sz w:val="24"/>
          <w:szCs w:val="24"/>
        </w:rPr>
        <w:t xml:space="preserve">Muahimin.2020. </w:t>
      </w:r>
      <w:r w:rsidRPr="00AD14D5">
        <w:rPr>
          <w:rFonts w:ascii="Book Antiqua" w:hAnsi="Book Antiqua"/>
          <w:i/>
          <w:sz w:val="24"/>
          <w:szCs w:val="24"/>
        </w:rPr>
        <w:t>Metode Penelitian Hukum.</w:t>
      </w:r>
      <w:r w:rsidRPr="00AD14D5">
        <w:rPr>
          <w:rFonts w:ascii="Book Antiqua" w:hAnsi="Book Antiqua"/>
          <w:sz w:val="24"/>
          <w:szCs w:val="24"/>
        </w:rPr>
        <w:t xml:space="preserve"> Mataram: Mataram University Press</w:t>
      </w:r>
    </w:p>
    <w:p w14:paraId="06BEB6EF"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lastRenderedPageBreak/>
        <w:t xml:space="preserve">Mukti Fajar &amp; Yulianto Achmad. </w:t>
      </w:r>
      <w:r w:rsidRPr="00AD14D5">
        <w:rPr>
          <w:rFonts w:ascii="Book Antiqua" w:hAnsi="Book Antiqua"/>
          <w:sz w:val="24"/>
          <w:szCs w:val="24"/>
        </w:rPr>
        <w:t xml:space="preserve">2010. </w:t>
      </w:r>
      <w:r w:rsidRPr="00AD14D5">
        <w:rPr>
          <w:rFonts w:ascii="Book Antiqua" w:hAnsi="Book Antiqua"/>
          <w:i/>
          <w:sz w:val="24"/>
          <w:szCs w:val="24"/>
        </w:rPr>
        <w:t>Dualisme Penelitian Hukum Empiris dan Normatif,</w:t>
      </w:r>
      <w:r w:rsidRPr="00AD14D5">
        <w:rPr>
          <w:rFonts w:ascii="Book Antiqua" w:hAnsi="Book Antiqua"/>
          <w:sz w:val="24"/>
          <w:szCs w:val="24"/>
        </w:rPr>
        <w:t xml:space="preserve"> Yogyakarta: Pustaka Pelajar</w:t>
      </w:r>
    </w:p>
    <w:p w14:paraId="5D7CA0A6"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color w:val="000000"/>
          <w:sz w:val="24"/>
          <w:szCs w:val="24"/>
        </w:rPr>
        <w:t xml:space="preserve">Narsudin dan Verlyta Swislyn. 2021. </w:t>
      </w:r>
      <w:r w:rsidRPr="00AD14D5">
        <w:rPr>
          <w:rFonts w:ascii="Book Antiqua" w:hAnsi="Book Antiqua"/>
          <w:i/>
          <w:color w:val="000000"/>
          <w:sz w:val="24"/>
          <w:szCs w:val="24"/>
        </w:rPr>
        <w:t>Kemana Hartaku Akan Berlabuh: Harta Warisan dari Sudut Pandang Barat, Adat, dan Islam</w:t>
      </w:r>
      <w:r w:rsidRPr="00AD14D5">
        <w:rPr>
          <w:rFonts w:ascii="Book Antiqua" w:hAnsi="Book Antiqua"/>
          <w:color w:val="000000"/>
          <w:sz w:val="24"/>
          <w:szCs w:val="24"/>
        </w:rPr>
        <w:t>. Jakarta: Elex Media Komputindo.</w:t>
      </w:r>
    </w:p>
    <w:p w14:paraId="112BF87E"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color w:val="000000"/>
          <w:sz w:val="24"/>
          <w:szCs w:val="24"/>
        </w:rPr>
        <w:t xml:space="preserve">Sigit Sapto Nugroho. 2020. </w:t>
      </w:r>
      <w:r w:rsidRPr="00AD14D5">
        <w:rPr>
          <w:rFonts w:ascii="Book Antiqua" w:hAnsi="Book Antiqua"/>
          <w:i/>
          <w:color w:val="000000"/>
          <w:sz w:val="24"/>
          <w:szCs w:val="24"/>
        </w:rPr>
        <w:t>Pengantar Hukum Waris Adat</w:t>
      </w:r>
      <w:r w:rsidRPr="00AD14D5">
        <w:rPr>
          <w:rFonts w:ascii="Book Antiqua" w:hAnsi="Book Antiqua"/>
          <w:color w:val="000000"/>
          <w:sz w:val="24"/>
          <w:szCs w:val="24"/>
        </w:rPr>
        <w:t>. Klaten: Lakeisha.</w:t>
      </w:r>
    </w:p>
    <w:p w14:paraId="5EE8BABC"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 xml:space="preserve">Syaikhu. 2021. </w:t>
      </w:r>
      <w:r w:rsidRPr="00AD14D5">
        <w:rPr>
          <w:rFonts w:ascii="Book Antiqua" w:hAnsi="Book Antiqua"/>
          <w:i/>
          <w:iCs/>
          <w:sz w:val="24"/>
          <w:szCs w:val="24"/>
        </w:rPr>
        <w:t>Akulturasi Hukum Waris: Paradigma Konsep Ekletisisme dalam Kewarisan Adat Dayak</w:t>
      </w:r>
      <w:r w:rsidRPr="00AD14D5">
        <w:rPr>
          <w:rFonts w:ascii="Book Antiqua" w:hAnsi="Book Antiqua"/>
          <w:sz w:val="24"/>
          <w:szCs w:val="24"/>
        </w:rPr>
        <w:t>. Yogyakarta: K-Media.</w:t>
      </w:r>
    </w:p>
    <w:p w14:paraId="157B025A" w14:textId="287F0D58" w:rsidR="00876050" w:rsidRDefault="00876050" w:rsidP="0018486C">
      <w:pPr>
        <w:pStyle w:val="FootnoteText"/>
        <w:spacing w:after="240" w:line="276" w:lineRule="auto"/>
        <w:ind w:left="709" w:hanging="709"/>
        <w:jc w:val="both"/>
        <w:rPr>
          <w:rFonts w:ascii="Book Antiqua" w:hAnsi="Book Antiqua"/>
          <w:sz w:val="24"/>
          <w:szCs w:val="24"/>
          <w:lang w:val="id-ID"/>
        </w:rPr>
      </w:pPr>
      <w:r w:rsidRPr="00AD14D5">
        <w:rPr>
          <w:rFonts w:ascii="Book Antiqua" w:hAnsi="Book Antiqua"/>
          <w:color w:val="000000"/>
          <w:sz w:val="24"/>
          <w:szCs w:val="24"/>
        </w:rPr>
        <w:t xml:space="preserve">Tinuk Dwi Cahyani. 2018. </w:t>
      </w:r>
      <w:r w:rsidRPr="00AD14D5">
        <w:rPr>
          <w:rFonts w:ascii="Book Antiqua" w:hAnsi="Book Antiqua"/>
          <w:i/>
          <w:color w:val="000000"/>
          <w:sz w:val="24"/>
          <w:szCs w:val="24"/>
        </w:rPr>
        <w:t>Hukum Waris Dalam Islam:  Dilengkapi Contoh Kasus dan Penyelesaiannya</w:t>
      </w:r>
      <w:r w:rsidRPr="00AD14D5">
        <w:rPr>
          <w:rFonts w:ascii="Book Antiqua" w:hAnsi="Book Antiqua"/>
          <w:color w:val="000000"/>
          <w:sz w:val="24"/>
          <w:szCs w:val="24"/>
        </w:rPr>
        <w:t>. Malang: Univ. Muhammadiyah Malang</w:t>
      </w:r>
    </w:p>
    <w:p w14:paraId="2D2FB28D" w14:textId="77777777" w:rsidR="0018486C" w:rsidRPr="0018486C" w:rsidRDefault="0018486C" w:rsidP="0018486C">
      <w:pPr>
        <w:pStyle w:val="FootnoteText"/>
        <w:spacing w:after="240" w:line="276" w:lineRule="auto"/>
        <w:ind w:left="709" w:hanging="709"/>
        <w:jc w:val="both"/>
        <w:rPr>
          <w:rFonts w:ascii="Book Antiqua" w:hAnsi="Book Antiqua"/>
          <w:sz w:val="24"/>
          <w:szCs w:val="24"/>
          <w:lang w:val="id-ID"/>
        </w:rPr>
      </w:pPr>
    </w:p>
    <w:p w14:paraId="2B15EE5E" w14:textId="0CBA3894" w:rsidR="00876050" w:rsidRPr="00AD14D5" w:rsidRDefault="00876050" w:rsidP="00876050">
      <w:pPr>
        <w:pStyle w:val="FootnoteText"/>
        <w:spacing w:after="240" w:line="276" w:lineRule="auto"/>
        <w:jc w:val="both"/>
        <w:rPr>
          <w:rFonts w:ascii="Book Antiqua" w:hAnsi="Book Antiqua"/>
          <w:b/>
          <w:bCs/>
          <w:i/>
          <w:iCs/>
          <w:sz w:val="24"/>
          <w:szCs w:val="24"/>
          <w:lang w:val="id-ID"/>
        </w:rPr>
      </w:pPr>
      <w:r w:rsidRPr="00AD14D5">
        <w:rPr>
          <w:rFonts w:ascii="Book Antiqua" w:hAnsi="Book Antiqua"/>
          <w:b/>
          <w:bCs/>
          <w:i/>
          <w:iCs/>
          <w:sz w:val="24"/>
          <w:szCs w:val="24"/>
          <w:lang w:val="id-ID"/>
        </w:rPr>
        <w:t>J</w:t>
      </w:r>
      <w:r w:rsidR="00154C4D">
        <w:rPr>
          <w:rFonts w:ascii="Book Antiqua" w:hAnsi="Book Antiqua"/>
          <w:b/>
          <w:bCs/>
          <w:i/>
          <w:iCs/>
          <w:sz w:val="24"/>
          <w:szCs w:val="24"/>
          <w:lang w:val="id-ID"/>
        </w:rPr>
        <w:t>o</w:t>
      </w:r>
      <w:r w:rsidRPr="00AD14D5">
        <w:rPr>
          <w:rFonts w:ascii="Book Antiqua" w:hAnsi="Book Antiqua"/>
          <w:b/>
          <w:bCs/>
          <w:i/>
          <w:iCs/>
          <w:sz w:val="24"/>
          <w:szCs w:val="24"/>
          <w:lang w:val="id-ID"/>
        </w:rPr>
        <w:t>urnal:</w:t>
      </w:r>
    </w:p>
    <w:p w14:paraId="0366646B"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 xml:space="preserve">Ahmad Wijaya, Nasran Nasran. “Comparison Of Judicial Review: A Critical Approach To The Model In Several Countries”. Jurnal Legalitas. Vol. 14, No. 2. 2021. </w:t>
      </w:r>
    </w:p>
    <w:p w14:paraId="0A270F4D"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Bakung, Dolot Alhasni, dan Muhtar, Mohamad Hidayat. (2020). “Determination of The Legal Protection of RightHolders to Neighboring Rights”. Jambura Law Review. Vol 2. No 1.</w:t>
      </w:r>
    </w:p>
    <w:p w14:paraId="1782B9D1" w14:textId="77777777" w:rsidR="00876050" w:rsidRPr="00AD14D5" w:rsidRDefault="00876050" w:rsidP="00876050">
      <w:pPr>
        <w:pStyle w:val="FootnoteText"/>
        <w:spacing w:after="240" w:line="276" w:lineRule="auto"/>
        <w:ind w:left="709" w:hanging="709"/>
        <w:jc w:val="both"/>
        <w:rPr>
          <w:rFonts w:ascii="Book Antiqua" w:hAnsi="Book Antiqua"/>
          <w:i/>
          <w:color w:val="000000"/>
          <w:sz w:val="24"/>
          <w:szCs w:val="24"/>
        </w:rPr>
      </w:pPr>
      <w:r w:rsidRPr="00AD14D5">
        <w:rPr>
          <w:rFonts w:ascii="Book Antiqua" w:hAnsi="Book Antiqua"/>
          <w:color w:val="000000"/>
          <w:sz w:val="24"/>
          <w:szCs w:val="24"/>
        </w:rPr>
        <w:t xml:space="preserve">Eko Hidayat. 2017. Kompilasi Hukum Islam Dalam Tata Hukum Nasional. </w:t>
      </w:r>
      <w:r w:rsidRPr="00AD14D5">
        <w:rPr>
          <w:rFonts w:ascii="Book Antiqua" w:hAnsi="Book Antiqua"/>
          <w:i/>
          <w:color w:val="000000"/>
          <w:sz w:val="24"/>
          <w:szCs w:val="24"/>
        </w:rPr>
        <w:t>Jurnal Sistemis UIN Raden Intan Lampung</w:t>
      </w:r>
    </w:p>
    <w:p w14:paraId="0D1F4D49"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 xml:space="preserve">Fence M. Wantu, dkk. “Kedudukan Peraturan Desa Dalam Sistem Pembentukan Peraturan Perundang-Undangan”. </w:t>
      </w:r>
      <w:r w:rsidRPr="00AD14D5">
        <w:rPr>
          <w:rFonts w:ascii="Book Antiqua" w:hAnsi="Book Antiqua"/>
          <w:i/>
          <w:iCs/>
          <w:sz w:val="24"/>
          <w:szCs w:val="24"/>
        </w:rPr>
        <w:t>Jurnal Ius Civile</w:t>
      </w:r>
      <w:r w:rsidRPr="00AD14D5">
        <w:rPr>
          <w:rFonts w:ascii="Book Antiqua" w:hAnsi="Book Antiqua"/>
          <w:sz w:val="24"/>
          <w:szCs w:val="24"/>
        </w:rPr>
        <w:t xml:space="preserve">. Volume 4, Nomor 2, Oktober 2020. </w:t>
      </w:r>
    </w:p>
    <w:p w14:paraId="04E4B281"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bookmarkStart w:id="6" w:name="_Hlk111488632"/>
      <w:r w:rsidRPr="00AD14D5">
        <w:rPr>
          <w:rFonts w:ascii="Book Antiqua" w:hAnsi="Book Antiqua"/>
          <w:sz w:val="24"/>
          <w:szCs w:val="24"/>
        </w:rPr>
        <w:t xml:space="preserve">Fence M. Wantu dan Usman Rasyid. “Redefinisi Kewenangan Komisi Yudisial Dalam Konstitusi: Upaya Mengharmonisasikan Putusan Pelaku Kekuasaan Kehakiman Indonesia”. </w:t>
      </w:r>
      <w:r w:rsidRPr="00AD14D5">
        <w:rPr>
          <w:rFonts w:ascii="Book Antiqua" w:hAnsi="Book Antiqua"/>
          <w:i/>
          <w:iCs/>
          <w:sz w:val="24"/>
          <w:szCs w:val="24"/>
        </w:rPr>
        <w:t>Jurnal Majelis.</w:t>
      </w:r>
      <w:r w:rsidRPr="00AD14D5">
        <w:rPr>
          <w:rFonts w:ascii="Book Antiqua" w:hAnsi="Book Antiqua"/>
          <w:sz w:val="24"/>
          <w:szCs w:val="24"/>
        </w:rPr>
        <w:t xml:space="preserve"> Edisi 08. September 2020. </w:t>
      </w:r>
    </w:p>
    <w:bookmarkEnd w:id="6"/>
    <w:p w14:paraId="54A0AF31"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Diana Zuhroh. 2017. Konsep Ahli Waris Dan Ahli Waris Pengganti: Studi Putusan Hakim Pengadilan Agama</w:t>
      </w:r>
      <w:r w:rsidRPr="00AD14D5">
        <w:rPr>
          <w:rFonts w:ascii="Book Antiqua" w:hAnsi="Book Antiqua"/>
          <w:i/>
          <w:sz w:val="24"/>
          <w:szCs w:val="24"/>
        </w:rPr>
        <w:t>. Jurnal Al;Ahkam</w:t>
      </w:r>
      <w:r w:rsidRPr="00AD14D5">
        <w:rPr>
          <w:rFonts w:ascii="Book Antiqua" w:hAnsi="Book Antiqua"/>
          <w:sz w:val="24"/>
          <w:szCs w:val="24"/>
        </w:rPr>
        <w:t>. Vol. 27. No. 1</w:t>
      </w:r>
    </w:p>
    <w:p w14:paraId="336DCAB6"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lastRenderedPageBreak/>
        <w:t xml:space="preserve">Dinta Febriawanti dan Intan Apriyanti Mansur. 2020. Dinamika Hukum Waris Adat di Masyarakat Bali Pada Masa Sekarang. </w:t>
      </w:r>
      <w:r w:rsidRPr="00AD14D5">
        <w:rPr>
          <w:rFonts w:ascii="Book Antiqua" w:hAnsi="Book Antiqua"/>
          <w:i/>
          <w:sz w:val="24"/>
          <w:szCs w:val="24"/>
        </w:rPr>
        <w:t>Jurnal Media Iuris</w:t>
      </w:r>
      <w:r w:rsidRPr="00AD14D5">
        <w:rPr>
          <w:rFonts w:ascii="Book Antiqua" w:hAnsi="Book Antiqua"/>
          <w:sz w:val="24"/>
          <w:szCs w:val="24"/>
        </w:rPr>
        <w:t>. Vol. 3 No. 2.</w:t>
      </w:r>
    </w:p>
    <w:p w14:paraId="16066EC7" w14:textId="77777777" w:rsidR="00876050" w:rsidRPr="00AD14D5" w:rsidRDefault="00876050" w:rsidP="00876050">
      <w:pPr>
        <w:pStyle w:val="FootnoteText"/>
        <w:spacing w:after="240" w:line="276" w:lineRule="auto"/>
        <w:ind w:left="709" w:hanging="709"/>
        <w:jc w:val="both"/>
        <w:rPr>
          <w:rFonts w:ascii="Book Antiqua" w:hAnsi="Book Antiqua"/>
          <w:sz w:val="24"/>
          <w:szCs w:val="24"/>
          <w:lang w:val="id-ID"/>
        </w:rPr>
      </w:pPr>
      <w:r w:rsidRPr="00AD14D5">
        <w:rPr>
          <w:rFonts w:ascii="Book Antiqua" w:hAnsi="Book Antiqua"/>
          <w:sz w:val="24"/>
          <w:szCs w:val="24"/>
        </w:rPr>
        <w:t>Dumaria Situmorang. 2020. Analisis Yuridis Pembagian Harta Warisan Terhadap Objek Hukum Waris Adat Yang Belum Dibagi (Studi Putusan Pengadilan Negeri Medan Nomor: 653/PDT.G/2017/PN. MDN Skripsi. Universitas Sumatera Utara</w:t>
      </w:r>
    </w:p>
    <w:p w14:paraId="0FD486C9"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I Gusti Agung Ketut Bagus Wira Adi Putra. 2020. Gugatan Tidak Dapat Diterima (</w:t>
      </w:r>
      <w:r w:rsidRPr="00AD14D5">
        <w:rPr>
          <w:rFonts w:ascii="Book Antiqua" w:hAnsi="Book Antiqua"/>
          <w:i/>
          <w:sz w:val="24"/>
          <w:szCs w:val="24"/>
        </w:rPr>
        <w:t>Niet Ontvankelijke Verklaard</w:t>
      </w:r>
      <w:r w:rsidRPr="00AD14D5">
        <w:rPr>
          <w:rFonts w:ascii="Book Antiqua" w:hAnsi="Book Antiqua"/>
          <w:sz w:val="24"/>
          <w:szCs w:val="24"/>
        </w:rPr>
        <w:t xml:space="preserve">) Dalam Gugatan Cerai Gugat Di Pengadilan Agama Badung. </w:t>
      </w:r>
      <w:r w:rsidRPr="00AD14D5">
        <w:rPr>
          <w:rFonts w:ascii="Book Antiqua" w:hAnsi="Book Antiqua"/>
          <w:i/>
          <w:sz w:val="24"/>
          <w:szCs w:val="24"/>
        </w:rPr>
        <w:t>Jurnal Konstruksi Hukum</w:t>
      </w:r>
      <w:r w:rsidRPr="00AD14D5">
        <w:rPr>
          <w:rFonts w:ascii="Book Antiqua" w:hAnsi="Book Antiqua"/>
          <w:sz w:val="24"/>
          <w:szCs w:val="24"/>
        </w:rPr>
        <w:t>. Vol. 1. No. 2</w:t>
      </w:r>
    </w:p>
    <w:p w14:paraId="6743933A" w14:textId="77777777" w:rsidR="00876050" w:rsidRPr="00AD14D5" w:rsidRDefault="00876050" w:rsidP="00876050">
      <w:pPr>
        <w:pStyle w:val="FootnoteText"/>
        <w:spacing w:after="240" w:line="276" w:lineRule="auto"/>
        <w:ind w:left="709" w:hanging="709"/>
        <w:jc w:val="both"/>
        <w:rPr>
          <w:rFonts w:ascii="Book Antiqua" w:hAnsi="Book Antiqua"/>
          <w:color w:val="000000"/>
          <w:sz w:val="24"/>
          <w:szCs w:val="24"/>
        </w:rPr>
      </w:pPr>
      <w:r w:rsidRPr="00AD14D5">
        <w:rPr>
          <w:rFonts w:ascii="Book Antiqua" w:hAnsi="Book Antiqua"/>
          <w:color w:val="000000"/>
          <w:sz w:val="24"/>
          <w:szCs w:val="24"/>
        </w:rPr>
        <w:t xml:space="preserve">Julius T Mandjo Dan Suwitno Y Imran. “Implementasi Uud Negara Republik Indonesia Tahun 1945 Pasal 27 Ayat 2 Tentang Hak Untuk Mendapatkan Pekerjaan Dan Penghidupan Yang Layak Bagi Kemanusiaan”. </w:t>
      </w:r>
      <w:r w:rsidRPr="00AD14D5">
        <w:rPr>
          <w:rFonts w:ascii="Book Antiqua" w:hAnsi="Book Antiqua"/>
          <w:i/>
          <w:iCs/>
          <w:color w:val="000000"/>
          <w:sz w:val="24"/>
          <w:szCs w:val="24"/>
        </w:rPr>
        <w:t>Jurnal Majelis</w:t>
      </w:r>
      <w:r w:rsidRPr="00AD14D5">
        <w:rPr>
          <w:rFonts w:ascii="Book Antiqua" w:hAnsi="Book Antiqua"/>
          <w:color w:val="000000"/>
          <w:sz w:val="24"/>
          <w:szCs w:val="24"/>
        </w:rPr>
        <w:t xml:space="preserve">. Edisi 08. September 2020. </w:t>
      </w:r>
    </w:p>
    <w:p w14:paraId="2673F97B"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color w:val="000000"/>
          <w:sz w:val="24"/>
          <w:szCs w:val="24"/>
        </w:rPr>
        <w:t xml:space="preserve">Muhammad Amin Hamid. 2014. Tinjauan Yuridis Atas Ahli Waris Pengganti Dalam Hukum Waris. </w:t>
      </w:r>
      <w:r w:rsidRPr="00AD14D5">
        <w:rPr>
          <w:rFonts w:ascii="Book Antiqua" w:hAnsi="Book Antiqua"/>
          <w:i/>
          <w:color w:val="000000"/>
          <w:sz w:val="24"/>
          <w:szCs w:val="24"/>
        </w:rPr>
        <w:t>Jurnal Legal Pluralism</w:t>
      </w:r>
      <w:r w:rsidRPr="00AD14D5">
        <w:rPr>
          <w:rFonts w:ascii="Book Antiqua" w:hAnsi="Book Antiqua"/>
          <w:color w:val="000000"/>
          <w:sz w:val="24"/>
          <w:szCs w:val="24"/>
        </w:rPr>
        <w:t>. Vol. 4. No. 2</w:t>
      </w:r>
    </w:p>
    <w:p w14:paraId="4A369C41" w14:textId="77777777" w:rsidR="00876050" w:rsidRPr="00AD14D5" w:rsidRDefault="00876050" w:rsidP="00876050">
      <w:pPr>
        <w:pStyle w:val="FootnoteText"/>
        <w:spacing w:after="240" w:line="276" w:lineRule="auto"/>
        <w:ind w:left="709" w:hanging="709"/>
        <w:jc w:val="both"/>
        <w:rPr>
          <w:rFonts w:ascii="Book Antiqua" w:hAnsi="Book Antiqua"/>
          <w:b/>
          <w:bCs/>
          <w:i/>
          <w:iCs/>
          <w:sz w:val="24"/>
          <w:szCs w:val="24"/>
          <w:lang w:val="id-ID"/>
        </w:rPr>
      </w:pPr>
      <w:r w:rsidRPr="00AD14D5">
        <w:rPr>
          <w:rFonts w:ascii="Book Antiqua" w:hAnsi="Book Antiqua"/>
          <w:sz w:val="24"/>
          <w:szCs w:val="24"/>
        </w:rPr>
        <w:t>Pande Putu Keke Surya Dewantari,</w:t>
      </w:r>
      <w:r w:rsidRPr="00AD14D5">
        <w:rPr>
          <w:rFonts w:ascii="Book Antiqua" w:hAnsi="Book Antiqua"/>
          <w:sz w:val="24"/>
          <w:szCs w:val="24"/>
          <w:lang w:val="id-ID"/>
        </w:rPr>
        <w:t xml:space="preserve"> </w:t>
      </w:r>
      <w:r w:rsidRPr="00AD14D5">
        <w:rPr>
          <w:rFonts w:ascii="Book Antiqua" w:hAnsi="Book Antiqua"/>
          <w:sz w:val="24"/>
          <w:szCs w:val="24"/>
        </w:rPr>
        <w:t xml:space="preserve">dkk. 2018. Kedudukan Ahli Waris Pengganti Bilamana Ahli Waris Lebih Dulu Meninggal Dunia Menurut Kitab </w:t>
      </w:r>
      <w:r w:rsidRPr="00AD14D5">
        <w:rPr>
          <w:rFonts w:ascii="Book Antiqua" w:hAnsi="Book Antiqua"/>
          <w:sz w:val="24"/>
          <w:szCs w:val="24"/>
          <w:lang w:val="id-ID"/>
        </w:rPr>
        <w:t>UU</w:t>
      </w:r>
      <w:r w:rsidRPr="00AD14D5">
        <w:rPr>
          <w:rFonts w:ascii="Book Antiqua" w:hAnsi="Book Antiqua"/>
          <w:sz w:val="24"/>
          <w:szCs w:val="24"/>
        </w:rPr>
        <w:t xml:space="preserve"> Hukum Perdata. </w:t>
      </w:r>
      <w:r w:rsidRPr="00AD14D5">
        <w:rPr>
          <w:rFonts w:ascii="Book Antiqua" w:hAnsi="Book Antiqua"/>
          <w:i/>
          <w:sz w:val="24"/>
          <w:szCs w:val="24"/>
        </w:rPr>
        <w:t>Jurnal Kertha Semaya</w:t>
      </w:r>
      <w:r w:rsidRPr="00AD14D5">
        <w:rPr>
          <w:rFonts w:ascii="Book Antiqua" w:hAnsi="Book Antiqua"/>
          <w:sz w:val="24"/>
          <w:szCs w:val="24"/>
        </w:rPr>
        <w:t>. Vol. 5. No. 2.</w:t>
      </w:r>
    </w:p>
    <w:p w14:paraId="2C1548C6"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 xml:space="preserve">Sarah Humairah, dkk. 2021. Kedudukan Ahli Waris Pengganti Dalam Hukum Waris Islam. </w:t>
      </w:r>
      <w:r w:rsidRPr="00AD14D5">
        <w:rPr>
          <w:rFonts w:ascii="Book Antiqua" w:hAnsi="Book Antiqua"/>
          <w:i/>
          <w:sz w:val="24"/>
          <w:szCs w:val="24"/>
        </w:rPr>
        <w:t>Jurnal Al-HIkmah</w:t>
      </w:r>
      <w:r w:rsidRPr="00AD14D5">
        <w:rPr>
          <w:rFonts w:ascii="Book Antiqua" w:hAnsi="Book Antiqua"/>
          <w:sz w:val="24"/>
          <w:szCs w:val="24"/>
        </w:rPr>
        <w:t>. Vol. 2 No. 3</w:t>
      </w:r>
    </w:p>
    <w:p w14:paraId="52668530" w14:textId="5EA97BD0" w:rsidR="00876050" w:rsidRPr="0018486C" w:rsidRDefault="00876050" w:rsidP="0018486C">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 xml:space="preserve">Sugiri Permana. 2018. Kesetaraan Gender Dalam Ijtihad Hukum Waris Di Indonesia. </w:t>
      </w:r>
      <w:r w:rsidRPr="00AD14D5">
        <w:rPr>
          <w:rFonts w:ascii="Book Antiqua" w:hAnsi="Book Antiqua"/>
          <w:i/>
          <w:sz w:val="24"/>
          <w:szCs w:val="24"/>
        </w:rPr>
        <w:t>Jurnal Asy-Syari‘ah</w:t>
      </w:r>
      <w:r w:rsidRPr="00AD14D5">
        <w:rPr>
          <w:rFonts w:ascii="Book Antiqua" w:hAnsi="Book Antiqua"/>
          <w:sz w:val="24"/>
          <w:szCs w:val="24"/>
        </w:rPr>
        <w:t>. Vol. 20. No. 2</w:t>
      </w:r>
    </w:p>
    <w:p w14:paraId="42106B43" w14:textId="77777777" w:rsidR="00876050" w:rsidRPr="00AD14D5" w:rsidRDefault="00876050" w:rsidP="00876050">
      <w:pPr>
        <w:pStyle w:val="FootnoteText"/>
        <w:spacing w:after="240" w:line="276" w:lineRule="auto"/>
        <w:ind w:left="709" w:hanging="709"/>
        <w:jc w:val="both"/>
        <w:rPr>
          <w:rFonts w:ascii="Book Antiqua" w:hAnsi="Book Antiqua"/>
          <w:b/>
          <w:bCs/>
          <w:i/>
          <w:iCs/>
          <w:sz w:val="24"/>
          <w:szCs w:val="24"/>
          <w:lang w:val="id-ID"/>
        </w:rPr>
      </w:pPr>
      <w:r w:rsidRPr="00AD14D5">
        <w:rPr>
          <w:rFonts w:ascii="Book Antiqua" w:hAnsi="Book Antiqua"/>
          <w:b/>
          <w:bCs/>
          <w:i/>
          <w:iCs/>
          <w:sz w:val="24"/>
          <w:szCs w:val="24"/>
          <w:lang w:val="id-ID"/>
        </w:rPr>
        <w:t>Internet:</w:t>
      </w:r>
    </w:p>
    <w:p w14:paraId="0AEFC79A" w14:textId="77777777" w:rsidR="00876050" w:rsidRPr="00AD14D5" w:rsidRDefault="00876050" w:rsidP="00876050">
      <w:pPr>
        <w:pStyle w:val="FootnoteText"/>
        <w:spacing w:after="240" w:line="276" w:lineRule="auto"/>
        <w:ind w:left="709" w:hanging="709"/>
        <w:jc w:val="both"/>
        <w:rPr>
          <w:rFonts w:ascii="Book Antiqua" w:hAnsi="Book Antiqua"/>
          <w:sz w:val="24"/>
          <w:szCs w:val="24"/>
        </w:rPr>
      </w:pPr>
      <w:r w:rsidRPr="00AD14D5">
        <w:rPr>
          <w:rFonts w:ascii="Book Antiqua" w:hAnsi="Book Antiqua"/>
          <w:sz w:val="24"/>
          <w:szCs w:val="24"/>
        </w:rPr>
        <w:t>https://putusan3.mahkamahagung.go.id/search.html?q=%22Ahliwaris%20pengganti%20%22&amp;court=307250PA528 (diakses pada Rabu, 15 Desember 2021. Pukul 13.28 wita</w:t>
      </w:r>
    </w:p>
    <w:p w14:paraId="2BC925C1" w14:textId="77777777" w:rsidR="00876050" w:rsidRPr="00AD14D5" w:rsidRDefault="00876050" w:rsidP="00876050">
      <w:pPr>
        <w:pStyle w:val="FootnoteText"/>
        <w:spacing w:after="240" w:line="276" w:lineRule="auto"/>
        <w:ind w:left="709" w:hanging="709"/>
        <w:jc w:val="both"/>
        <w:rPr>
          <w:rFonts w:ascii="Book Antiqua" w:hAnsi="Book Antiqua"/>
          <w:sz w:val="24"/>
          <w:szCs w:val="24"/>
          <w:lang w:val="id-ID"/>
        </w:rPr>
      </w:pPr>
      <w:r w:rsidRPr="00AD14D5">
        <w:rPr>
          <w:rFonts w:ascii="Book Antiqua" w:hAnsi="Book Antiqua"/>
          <w:sz w:val="24"/>
          <w:szCs w:val="24"/>
        </w:rPr>
        <w:t>https://www.hukumonline.com/berita/baca/lt5cf785616f9ab/mengenal-kembali-iplaatsvervulling-i-dalam-hukum-kewarisan-nasional/diakses pada Kamis, 02 desember 2021, pukul 13.47 wita</w:t>
      </w:r>
    </w:p>
    <w:p w14:paraId="2506257F" w14:textId="602E6B2B" w:rsidR="009C2717" w:rsidRPr="00AD14D5" w:rsidRDefault="00876050" w:rsidP="00154C4D">
      <w:pPr>
        <w:pStyle w:val="FootnoteText"/>
        <w:spacing w:after="240" w:line="276" w:lineRule="auto"/>
        <w:ind w:left="709" w:hanging="709"/>
        <w:jc w:val="both"/>
        <w:rPr>
          <w:rFonts w:ascii="Book Antiqua" w:hAnsi="Book Antiqua"/>
          <w:sz w:val="24"/>
          <w:szCs w:val="24"/>
          <w:lang w:val="id-ID"/>
        </w:rPr>
      </w:pPr>
      <w:r w:rsidRPr="00AD14D5">
        <w:rPr>
          <w:rFonts w:ascii="Book Antiqua" w:hAnsi="Book Antiqua"/>
          <w:sz w:val="24"/>
          <w:szCs w:val="24"/>
        </w:rPr>
        <w:lastRenderedPageBreak/>
        <w:t xml:space="preserve">Moch Dani Pratama Huzaini. 2019. dipublish pada hukumonline.com dengan judul artikel: Mengenal Kembali Plaatsvervulling dalam Hukum Kewarisan Nasional. </w:t>
      </w:r>
    </w:p>
    <w:sectPr w:rsidR="009C2717" w:rsidRPr="00AD14D5">
      <w:footerReference w:type="even" r:id="rId11"/>
      <w:footerReference w:type="default" r:id="rId12"/>
      <w:footerReference w:type="first" r:id="rId13"/>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6B76" w14:textId="77777777" w:rsidR="00F73F59" w:rsidRDefault="00F73F59" w:rsidP="004F0EAE">
      <w:pPr>
        <w:spacing w:line="240" w:lineRule="auto"/>
      </w:pPr>
      <w:r>
        <w:separator/>
      </w:r>
    </w:p>
  </w:endnote>
  <w:endnote w:type="continuationSeparator" w:id="0">
    <w:p w14:paraId="3389F5B8" w14:textId="77777777" w:rsidR="00F73F59" w:rsidRDefault="00F73F59" w:rsidP="004F0E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DA65" w14:textId="77777777" w:rsidR="00D2563E" w:rsidRDefault="00234BC9">
    <w:pPr>
      <w:pStyle w:val="Footer"/>
      <w:jc w:val="right"/>
    </w:pPr>
    <w:r>
      <w:t xml:space="preserve">Page | </w:t>
    </w:r>
    <w:r>
      <w:fldChar w:fldCharType="begin"/>
    </w:r>
    <w:r>
      <w:instrText xml:space="preserve"> PAGE   \* MERGEFORMAT </w:instrText>
    </w:r>
    <w:r>
      <w:fldChar w:fldCharType="separate"/>
    </w:r>
    <w:r>
      <w:rPr>
        <w:noProof/>
      </w:rPr>
      <w:t>14</w:t>
    </w:r>
    <w:r>
      <w:rPr>
        <w:noProof/>
      </w:rPr>
      <w:fldChar w:fldCharType="end"/>
    </w:r>
    <w:r>
      <w:t xml:space="preserve"> </w:t>
    </w:r>
  </w:p>
  <w:p w14:paraId="44683C78" w14:textId="77777777" w:rsidR="00D2563E" w:rsidRDefault="00D256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C6D51" w14:textId="77777777" w:rsidR="00D2563E" w:rsidRDefault="00234BC9">
    <w:pPr>
      <w:pStyle w:val="Footer"/>
      <w:jc w:val="right"/>
    </w:pPr>
    <w:r>
      <w:t xml:space="preserve">Page | </w:t>
    </w:r>
    <w:r>
      <w:fldChar w:fldCharType="begin"/>
    </w:r>
    <w:r>
      <w:instrText xml:space="preserve"> PAGE   \* MERGEFORMAT </w:instrText>
    </w:r>
    <w:r>
      <w:fldChar w:fldCharType="separate"/>
    </w:r>
    <w:r>
      <w:rPr>
        <w:noProof/>
      </w:rPr>
      <w:t>13</w:t>
    </w:r>
    <w:r>
      <w:rPr>
        <w:noProof/>
      </w:rPr>
      <w:fldChar w:fldCharType="end"/>
    </w:r>
    <w:r>
      <w:t xml:space="preserve"> </w:t>
    </w:r>
  </w:p>
  <w:p w14:paraId="301AAA0C" w14:textId="77777777" w:rsidR="00D2563E" w:rsidRDefault="00D256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0CF45" w14:textId="77777777" w:rsidR="00D2563E" w:rsidRDefault="00234BC9">
    <w:pPr>
      <w:pStyle w:val="Footer"/>
      <w:jc w:val="right"/>
    </w:pPr>
    <w:r>
      <w:t xml:space="preserve">Page | </w:t>
    </w:r>
    <w:r>
      <w:fldChar w:fldCharType="begin"/>
    </w:r>
    <w:r>
      <w:instrText xml:space="preserve"> PAGE   \* MERGEFORMAT </w:instrText>
    </w:r>
    <w:r>
      <w:fldChar w:fldCharType="separate"/>
    </w:r>
    <w:r>
      <w:rPr>
        <w:noProof/>
      </w:rPr>
      <w:t>1</w:t>
    </w:r>
    <w:r>
      <w:rPr>
        <w:noProof/>
      </w:rPr>
      <w:fldChar w:fldCharType="end"/>
    </w:r>
    <w:r>
      <w:t xml:space="preserve"> </w:t>
    </w:r>
  </w:p>
  <w:p w14:paraId="6B1C6A59" w14:textId="77777777" w:rsidR="00D2563E" w:rsidRPr="00F21B2B" w:rsidRDefault="00D2563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A68A" w14:textId="77777777" w:rsidR="00F73F59" w:rsidRDefault="00F73F59" w:rsidP="004F0EAE">
      <w:pPr>
        <w:spacing w:line="240" w:lineRule="auto"/>
      </w:pPr>
      <w:r>
        <w:separator/>
      </w:r>
    </w:p>
  </w:footnote>
  <w:footnote w:type="continuationSeparator" w:id="0">
    <w:p w14:paraId="111C57E3" w14:textId="77777777" w:rsidR="00F73F59" w:rsidRDefault="00F73F59" w:rsidP="004F0EAE">
      <w:pPr>
        <w:spacing w:line="240" w:lineRule="auto"/>
      </w:pPr>
      <w:r>
        <w:continuationSeparator/>
      </w:r>
    </w:p>
  </w:footnote>
  <w:footnote w:id="1">
    <w:p w14:paraId="6FA36091" w14:textId="5F62A2DC" w:rsidR="000413C0" w:rsidRPr="00AD14D5" w:rsidRDefault="000413C0" w:rsidP="00AD14D5">
      <w:pPr>
        <w:pStyle w:val="FootnoteText"/>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rPr>
        <w:t xml:space="preserve">Syaikhu. 2021. </w:t>
      </w:r>
      <w:r w:rsidR="003064C8" w:rsidRPr="00AD14D5">
        <w:rPr>
          <w:rFonts w:ascii="Book Antiqua" w:hAnsi="Book Antiqua"/>
          <w:i/>
          <w:iCs/>
        </w:rPr>
        <w:t>Akulturasi Hukum Waris: Paradigma Konsep Ekletisisme dalam Kewarisan Adat Dayak</w:t>
      </w:r>
      <w:r w:rsidR="003064C8" w:rsidRPr="00AD14D5">
        <w:rPr>
          <w:rFonts w:ascii="Book Antiqua" w:hAnsi="Book Antiqua"/>
        </w:rPr>
        <w:t>. Yogyakarta: K-Media. Hal. 1</w:t>
      </w:r>
    </w:p>
  </w:footnote>
  <w:footnote w:id="2">
    <w:p w14:paraId="69BC90D6" w14:textId="77777777" w:rsidR="000413C0" w:rsidRPr="00AD14D5" w:rsidRDefault="000413C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See Article 131 Indische Staatsregeling</w:t>
      </w:r>
    </w:p>
  </w:footnote>
  <w:footnote w:id="3">
    <w:p w14:paraId="29DBD624" w14:textId="7A3B28DA" w:rsidR="00622FF3" w:rsidRPr="00AD14D5" w:rsidRDefault="00622FF3"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bookmarkStart w:id="4" w:name="_Hlk111487680"/>
      <w:r w:rsidR="003064C8">
        <w:rPr>
          <w:rFonts w:ascii="Book Antiqua" w:hAnsi="Book Antiqua"/>
        </w:rPr>
        <w:t xml:space="preserve">Bakung, Dolot Alhasni, dan Muhtar, Mohamad Hidayat. (2020). “Determination of The Legal Protection of RightHolders to Neighboring Rights”. </w:t>
      </w:r>
      <w:r w:rsidR="003064C8">
        <w:rPr>
          <w:rFonts w:ascii="Book Antiqua" w:hAnsi="Book Antiqua"/>
          <w:i/>
          <w:iCs/>
        </w:rPr>
        <w:t>Jambura Law Review</w:t>
      </w:r>
      <w:r w:rsidR="003064C8">
        <w:rPr>
          <w:rFonts w:ascii="Book Antiqua" w:hAnsi="Book Antiqua"/>
          <w:lang w:val="id-ID"/>
        </w:rPr>
        <w:t>.</w:t>
      </w:r>
      <w:r w:rsidR="003064C8">
        <w:rPr>
          <w:rFonts w:ascii="Book Antiqua" w:hAnsi="Book Antiqua"/>
        </w:rPr>
        <w:t xml:space="preserve"> </w:t>
      </w:r>
      <w:r w:rsidR="003064C8">
        <w:rPr>
          <w:rFonts w:ascii="Book Antiqua" w:hAnsi="Book Antiqua"/>
          <w:lang w:val="id-ID"/>
        </w:rPr>
        <w:t xml:space="preserve">Vol </w:t>
      </w:r>
      <w:r w:rsidR="003064C8">
        <w:rPr>
          <w:rFonts w:ascii="Book Antiqua" w:hAnsi="Book Antiqua"/>
        </w:rPr>
        <w:t>2</w:t>
      </w:r>
      <w:r w:rsidR="003064C8">
        <w:rPr>
          <w:rFonts w:ascii="Book Antiqua" w:hAnsi="Book Antiqua"/>
          <w:lang w:val="id-ID"/>
        </w:rPr>
        <w:t>. No</w:t>
      </w:r>
      <w:r w:rsidR="003064C8">
        <w:rPr>
          <w:rFonts w:ascii="Book Antiqua" w:hAnsi="Book Antiqua"/>
        </w:rPr>
        <w:t xml:space="preserve"> 1</w:t>
      </w:r>
      <w:r w:rsidR="003064C8">
        <w:rPr>
          <w:rFonts w:ascii="Book Antiqua" w:hAnsi="Book Antiqua"/>
          <w:lang w:val="id-ID"/>
        </w:rPr>
        <w:t>. Hal 67</w:t>
      </w:r>
    </w:p>
    <w:bookmarkEnd w:id="4"/>
  </w:footnote>
  <w:footnote w:id="4">
    <w:p w14:paraId="129A5D18" w14:textId="47A0DF57" w:rsidR="009265E0" w:rsidRPr="00AD14D5" w:rsidRDefault="009265E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bookmarkStart w:id="5" w:name="_Hlk110252883"/>
      <w:r w:rsidR="003064C8" w:rsidRPr="00AD14D5">
        <w:rPr>
          <w:rFonts w:ascii="Book Antiqua" w:hAnsi="Book Antiqua"/>
        </w:rPr>
        <w:t>Ahmad Wijaya, Nasran Nasran</w:t>
      </w:r>
      <w:r w:rsidR="003064C8" w:rsidRPr="00AD14D5">
        <w:rPr>
          <w:rFonts w:ascii="Book Antiqua" w:hAnsi="Book Antiqua"/>
          <w:lang w:val="id-ID"/>
        </w:rPr>
        <w:t xml:space="preserve">. “Comparison Of Judicial Review: A Critical Approach To The Model In Several Countries”. </w:t>
      </w:r>
      <w:r w:rsidR="003064C8" w:rsidRPr="00AD14D5">
        <w:rPr>
          <w:rFonts w:ascii="Book Antiqua" w:hAnsi="Book Antiqua"/>
          <w:i/>
          <w:iCs/>
          <w:lang w:val="id-ID"/>
        </w:rPr>
        <w:t>Jurnal Legalitas.</w:t>
      </w:r>
      <w:r w:rsidR="003064C8" w:rsidRPr="00AD14D5">
        <w:rPr>
          <w:rFonts w:ascii="Book Antiqua" w:hAnsi="Book Antiqua"/>
          <w:lang w:val="id-ID"/>
        </w:rPr>
        <w:t xml:space="preserve"> Vol. 14, No. 2. 2021</w:t>
      </w:r>
      <w:bookmarkEnd w:id="5"/>
      <w:r w:rsidR="003064C8" w:rsidRPr="00AD14D5">
        <w:rPr>
          <w:rFonts w:ascii="Book Antiqua" w:hAnsi="Book Antiqua"/>
          <w:lang w:val="id-ID"/>
        </w:rPr>
        <w:t>. Hlm 88</w:t>
      </w:r>
    </w:p>
  </w:footnote>
  <w:footnote w:id="5">
    <w:p w14:paraId="2214CD21" w14:textId="01FCE3A2" w:rsidR="00F13B40" w:rsidRPr="00AD14D5" w:rsidRDefault="00F13B40" w:rsidP="00AD14D5">
      <w:pPr>
        <w:pStyle w:val="FootnoteText"/>
        <w:ind w:left="142" w:hanging="141"/>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rPr>
        <w:t xml:space="preserve">Julius T Mandjo Dan Suwitno Y Imran. “Implementasi Uud Negara Republik Indonesia Tahun 1945 Pasal 27 Ayat 2 Tentang Hak Untuk Mendapatkan Pekerjaan Dan Penghidupan Yang Layak Bagi Kemanusiaan”. </w:t>
      </w:r>
      <w:r w:rsidR="003064C8" w:rsidRPr="00AD14D5">
        <w:rPr>
          <w:rFonts w:ascii="Book Antiqua" w:hAnsi="Book Antiqua"/>
          <w:i/>
          <w:iCs/>
        </w:rPr>
        <w:t>Jurnal Majelis</w:t>
      </w:r>
      <w:r w:rsidR="003064C8" w:rsidRPr="00AD14D5">
        <w:rPr>
          <w:rFonts w:ascii="Book Antiqua" w:hAnsi="Book Antiqua"/>
        </w:rPr>
        <w:t>. Edisi 08. September 2020. 84.</w:t>
      </w:r>
    </w:p>
  </w:footnote>
  <w:footnote w:id="6">
    <w:p w14:paraId="551F7874" w14:textId="2AAAE37E" w:rsidR="00C71C1B" w:rsidRPr="00AD14D5" w:rsidRDefault="00C71C1B" w:rsidP="00AD14D5">
      <w:pPr>
        <w:pStyle w:val="FootnoteText"/>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rPr>
        <w:t xml:space="preserve">Fence M. Wantu, dkk. “Kedudukan Peraturan Desa Dalam Sistem Pembentukan Peraturan Perundang-Undangan”. </w:t>
      </w:r>
      <w:r w:rsidR="003064C8" w:rsidRPr="00AD14D5">
        <w:rPr>
          <w:rFonts w:ascii="Book Antiqua" w:hAnsi="Book Antiqua"/>
          <w:i/>
          <w:iCs/>
        </w:rPr>
        <w:t>Jurnal Ius Civile</w:t>
      </w:r>
      <w:r w:rsidR="003064C8" w:rsidRPr="00AD14D5">
        <w:rPr>
          <w:rFonts w:ascii="Book Antiqua" w:hAnsi="Book Antiqua"/>
        </w:rPr>
        <w:t>. Volume 4, Nomor 2, Oktober 2020. 201</w:t>
      </w:r>
    </w:p>
  </w:footnote>
  <w:footnote w:id="7">
    <w:p w14:paraId="020D63BF" w14:textId="127E95A5"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rPr>
        <w:t>Dumaria Situmorang. 2020. Analisis Yuridis Pembagian Harta Warisan Terhadap Objek Hukum Waris Adat Yang Belum Dibagi (Studi Putusan Pengadilan Negeri Medan Nomor: 653/PDT.G/2017/PN. MDN Skripsi. Universitas Sumatera Utara. Hal. 6</w:t>
      </w:r>
    </w:p>
  </w:footnote>
  <w:footnote w:id="8">
    <w:p w14:paraId="56B84F7B" w14:textId="50B53BF3" w:rsidR="00734407" w:rsidRPr="00AD14D5" w:rsidRDefault="00734407" w:rsidP="00AD14D5">
      <w:pPr>
        <w:pStyle w:val="FootnoteText"/>
        <w:jc w:val="both"/>
        <w:rPr>
          <w:rFonts w:ascii="Book Antiqua" w:hAnsi="Book Antiqua"/>
          <w:color w:val="000000"/>
        </w:rPr>
      </w:pPr>
      <w:r w:rsidRPr="00AD14D5">
        <w:rPr>
          <w:rStyle w:val="FootnoteReference"/>
          <w:rFonts w:ascii="Book Antiqua" w:hAnsi="Book Antiqua"/>
        </w:rPr>
        <w:footnoteRef/>
      </w:r>
      <w:r w:rsidRPr="00AD14D5">
        <w:rPr>
          <w:rFonts w:ascii="Book Antiqua" w:hAnsi="Book Antiqua"/>
        </w:rPr>
        <w:t xml:space="preserve"> </w:t>
      </w:r>
      <w:r w:rsidR="003064C8" w:rsidRPr="00AD14D5">
        <w:rPr>
          <w:rFonts w:ascii="Book Antiqua" w:hAnsi="Book Antiqua"/>
          <w:color w:val="000000"/>
        </w:rPr>
        <w:t xml:space="preserve">Tinuk Dwi Cahyani. 2018. </w:t>
      </w:r>
      <w:r w:rsidR="003064C8" w:rsidRPr="00AD14D5">
        <w:rPr>
          <w:rFonts w:ascii="Book Antiqua" w:hAnsi="Book Antiqua"/>
          <w:i/>
          <w:color w:val="000000"/>
        </w:rPr>
        <w:t>Hukum Waris Dalam Islam:  Dilengkapi Contoh Kasus dan Penyelesaiannya</w:t>
      </w:r>
      <w:r w:rsidR="003064C8" w:rsidRPr="00AD14D5">
        <w:rPr>
          <w:rFonts w:ascii="Book Antiqua" w:hAnsi="Book Antiqua"/>
          <w:color w:val="000000"/>
        </w:rPr>
        <w:t xml:space="preserve">. Malang: Univ. Muhammadiyah Malang. Hal. 9. </w:t>
      </w:r>
    </w:p>
    <w:p w14:paraId="77CE0B42" w14:textId="6DC6846E" w:rsidR="00734407" w:rsidRPr="00AD14D5" w:rsidRDefault="00734407" w:rsidP="00AD14D5">
      <w:pPr>
        <w:pStyle w:val="FootnoteText"/>
        <w:jc w:val="both"/>
        <w:rPr>
          <w:rFonts w:ascii="Book Antiqua" w:hAnsi="Book Antiqua"/>
          <w:color w:val="000000"/>
        </w:rPr>
      </w:pPr>
      <w:r w:rsidRPr="00AD14D5">
        <w:rPr>
          <w:rStyle w:val="FootnoteReference"/>
          <w:rFonts w:ascii="Book Antiqua" w:hAnsi="Book Antiqua"/>
        </w:rPr>
        <w:footnoteRef/>
      </w:r>
      <w:r w:rsidRPr="00AD14D5">
        <w:rPr>
          <w:rFonts w:ascii="Book Antiqua" w:hAnsi="Book Antiqua"/>
          <w:color w:val="000000"/>
        </w:rPr>
        <w:t xml:space="preserve"> </w:t>
      </w:r>
      <w:r w:rsidRPr="00AD14D5">
        <w:rPr>
          <w:rFonts w:ascii="Book Antiqua" w:hAnsi="Book Antiqua"/>
          <w:i/>
          <w:color w:val="000000"/>
        </w:rPr>
        <w:t>Ibid</w:t>
      </w:r>
      <w:r w:rsidRPr="00AD14D5">
        <w:rPr>
          <w:rFonts w:ascii="Book Antiqua" w:hAnsi="Book Antiqua"/>
          <w:color w:val="000000"/>
        </w:rPr>
        <w:t>.</w:t>
      </w:r>
    </w:p>
  </w:footnote>
  <w:footnote w:id="9">
    <w:p w14:paraId="39704C7F" w14:textId="5B6424F3" w:rsidR="00CF0340" w:rsidRPr="00AD14D5" w:rsidRDefault="00CF034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3064C8" w:rsidRPr="00AD14D5">
        <w:rPr>
          <w:rFonts w:ascii="Book Antiqua" w:hAnsi="Book Antiqua"/>
          <w:color w:val="000000"/>
        </w:rPr>
        <w:t xml:space="preserve">Narsudin dan Verlyta Swislyn. 2021. </w:t>
      </w:r>
      <w:r w:rsidR="003064C8" w:rsidRPr="00AD14D5">
        <w:rPr>
          <w:rFonts w:ascii="Book Antiqua" w:hAnsi="Book Antiqua"/>
          <w:i/>
          <w:color w:val="000000"/>
        </w:rPr>
        <w:t>Kemana Hartaku Akan Berlabuh: Harta Warisan dari Sudut Pandang Barat, Adat, dan Islam</w:t>
      </w:r>
      <w:r w:rsidR="003064C8" w:rsidRPr="00AD14D5">
        <w:rPr>
          <w:rFonts w:ascii="Book Antiqua" w:hAnsi="Book Antiqua"/>
          <w:color w:val="000000"/>
        </w:rPr>
        <w:t>. Jakarta: Elex Media Komputindo. Hal. 2</w:t>
      </w:r>
    </w:p>
  </w:footnote>
  <w:footnote w:id="10">
    <w:p w14:paraId="24337C1B" w14:textId="53056C90"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rPr>
        <w:t xml:space="preserve"> Laporan Tahunan MA tahun 2020. Hal 100-101</w:t>
      </w:r>
    </w:p>
  </w:footnote>
  <w:footnote w:id="11">
    <w:p w14:paraId="662CD4B9" w14:textId="2A2ECA00" w:rsidR="00734407" w:rsidRPr="00AD14D5" w:rsidRDefault="00734407" w:rsidP="00AD14D5">
      <w:pPr>
        <w:pStyle w:val="FootnoteText"/>
        <w:jc w:val="both"/>
        <w:rPr>
          <w:rFonts w:ascii="Book Antiqua" w:hAnsi="Book Antiqua"/>
          <w:lang w:val="id-ID"/>
        </w:rPr>
      </w:pPr>
      <w:r w:rsidRPr="00AD14D5">
        <w:rPr>
          <w:rStyle w:val="FootnoteReference"/>
          <w:rFonts w:ascii="Book Antiqua" w:hAnsi="Book Antiqua"/>
        </w:rPr>
        <w:footnoteRef/>
      </w:r>
      <w:r w:rsidR="003064C8" w:rsidRPr="00AD14D5">
        <w:rPr>
          <w:rFonts w:ascii="Book Antiqua" w:hAnsi="Book Antiqua"/>
          <w:color w:val="000000"/>
        </w:rPr>
        <w:t xml:space="preserve">Abdul Aziz. 2021. </w:t>
      </w:r>
      <w:r w:rsidR="003064C8" w:rsidRPr="00AD14D5">
        <w:rPr>
          <w:rFonts w:ascii="Book Antiqua" w:hAnsi="Book Antiqua"/>
          <w:i/>
          <w:color w:val="000000"/>
        </w:rPr>
        <w:t>Konsep Ahli Waris Pengganti.</w:t>
      </w:r>
      <w:r w:rsidR="003064C8" w:rsidRPr="00AD14D5">
        <w:rPr>
          <w:rFonts w:ascii="Book Antiqua" w:hAnsi="Book Antiqua"/>
          <w:color w:val="000000"/>
        </w:rPr>
        <w:t xml:space="preserve"> Surabaya: Global Aksara Press. Hal. 9</w:t>
      </w:r>
      <w:r w:rsidRPr="00AD14D5">
        <w:rPr>
          <w:rFonts w:ascii="Book Antiqua" w:hAnsi="Book Antiqua"/>
          <w:color w:val="000000"/>
        </w:rPr>
        <w:t>.</w:t>
      </w:r>
    </w:p>
  </w:footnote>
  <w:footnote w:id="12">
    <w:p w14:paraId="60E9B0E5" w14:textId="77777777"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See the provisions of 830 of the Civil Code</w:t>
      </w:r>
    </w:p>
  </w:footnote>
  <w:footnote w:id="13">
    <w:p w14:paraId="00342C6B" w14:textId="77777777"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Pr="00AD14D5">
        <w:rPr>
          <w:rFonts w:ascii="Book Antiqua" w:hAnsi="Book Antiqua"/>
          <w:color w:val="000000"/>
        </w:rPr>
        <w:t>Article 832 of the Civil Code</w:t>
      </w:r>
    </w:p>
  </w:footnote>
  <w:footnote w:id="14">
    <w:p w14:paraId="6C98B592" w14:textId="3B06D8B1" w:rsidR="00783293" w:rsidRPr="00AD14D5" w:rsidRDefault="00783293"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540869">
        <w:rPr>
          <w:rFonts w:ascii="Book Antiqua" w:hAnsi="Book Antiqua"/>
          <w:color w:val="000000"/>
        </w:rPr>
        <w:t xml:space="preserve">Irma Fatmawati. 2020. </w:t>
      </w:r>
      <w:r w:rsidR="00540869">
        <w:rPr>
          <w:rFonts w:ascii="Book Antiqua" w:hAnsi="Book Antiqua"/>
          <w:i/>
          <w:color w:val="000000"/>
        </w:rPr>
        <w:t>Hukum Waris Perdata: Menerima atau Menolak Warisan oleh Ahli Waris Serta Akibat Hukumnya</w:t>
      </w:r>
      <w:r w:rsidR="00540869">
        <w:rPr>
          <w:rFonts w:ascii="Book Antiqua" w:hAnsi="Book Antiqua"/>
          <w:color w:val="000000"/>
        </w:rPr>
        <w:t>. Yogyakarta: Deepublish. Hal. 1.</w:t>
      </w:r>
    </w:p>
  </w:footnote>
  <w:footnote w:id="15">
    <w:p w14:paraId="397AA4CB" w14:textId="3659DD8F" w:rsidR="00CF0340" w:rsidRPr="00AD14D5" w:rsidRDefault="00CF034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540869">
        <w:rPr>
          <w:rFonts w:ascii="Book Antiqua" w:hAnsi="Book Antiqua"/>
          <w:color w:val="000000"/>
        </w:rPr>
        <w:t xml:space="preserve">Sigit Sapto Nugroho. 2020. </w:t>
      </w:r>
      <w:r w:rsidR="00540869">
        <w:rPr>
          <w:rFonts w:ascii="Book Antiqua" w:hAnsi="Book Antiqua"/>
          <w:i/>
          <w:color w:val="000000"/>
        </w:rPr>
        <w:t>Pengantar Hukum Waris Adat</w:t>
      </w:r>
      <w:r w:rsidR="00540869">
        <w:rPr>
          <w:rFonts w:ascii="Book Antiqua" w:hAnsi="Book Antiqua"/>
          <w:color w:val="000000"/>
        </w:rPr>
        <w:t>. Klaten: Lakeisha. Hal. 27</w:t>
      </w:r>
    </w:p>
  </w:footnote>
  <w:footnote w:id="16">
    <w:p w14:paraId="3110C043" w14:textId="6D271B04" w:rsidR="00CF0340" w:rsidRPr="00AD14D5" w:rsidRDefault="00CF0340" w:rsidP="00AD14D5">
      <w:pPr>
        <w:pStyle w:val="FootnoteText"/>
        <w:jc w:val="both"/>
        <w:rPr>
          <w:rFonts w:ascii="Book Antiqua" w:hAnsi="Book Antiqua"/>
          <w:lang w:val="id-ID"/>
        </w:rPr>
      </w:pPr>
      <w:r w:rsidRPr="00AD14D5">
        <w:rPr>
          <w:rStyle w:val="FootnoteReference"/>
          <w:rFonts w:ascii="Book Antiqua" w:hAnsi="Book Antiqua"/>
        </w:rPr>
        <w:footnoteRef/>
      </w:r>
      <w:r w:rsidR="00540869" w:rsidRPr="00AD14D5">
        <w:rPr>
          <w:rFonts w:ascii="Book Antiqua" w:hAnsi="Book Antiqua"/>
        </w:rPr>
        <w:t xml:space="preserve">Dinta Febriawanti dan Intan Apriyanti Mansur. 2020. Dinamika Hukum Waris Adat di Masyarakat Bali Pada Masa Sekarang. </w:t>
      </w:r>
      <w:r w:rsidR="00540869" w:rsidRPr="00AD14D5">
        <w:rPr>
          <w:rFonts w:ascii="Book Antiqua" w:hAnsi="Book Antiqua"/>
          <w:i/>
        </w:rPr>
        <w:t>Jurnal Media Iuris</w:t>
      </w:r>
      <w:r w:rsidR="00540869" w:rsidRPr="00AD14D5">
        <w:rPr>
          <w:rFonts w:ascii="Book Antiqua" w:hAnsi="Book Antiqua"/>
        </w:rPr>
        <w:t>. Vol. 3 No. 2. Hal. 130</w:t>
      </w:r>
    </w:p>
  </w:footnote>
  <w:footnote w:id="17">
    <w:p w14:paraId="6AAC8CE0" w14:textId="76EA36BB" w:rsidR="00782DC5" w:rsidRPr="00AD14D5" w:rsidRDefault="00782DC5" w:rsidP="00AD14D5">
      <w:pPr>
        <w:pStyle w:val="FootnoteText"/>
        <w:jc w:val="both"/>
        <w:rPr>
          <w:rFonts w:ascii="Book Antiqua" w:hAnsi="Book Antiqua"/>
        </w:rPr>
      </w:pPr>
      <w:r w:rsidRPr="00AD14D5">
        <w:rPr>
          <w:rStyle w:val="FootnoteReference"/>
          <w:rFonts w:ascii="Book Antiqua" w:hAnsi="Book Antiqua"/>
        </w:rPr>
        <w:footnoteRef/>
      </w:r>
      <w:r w:rsidR="00540869" w:rsidRPr="00AD14D5">
        <w:rPr>
          <w:rFonts w:ascii="Book Antiqua" w:hAnsi="Book Antiqua"/>
        </w:rPr>
        <w:t xml:space="preserve">Pande Putu Keke Surya Dewantari, dkk. 2018. Kedudukan Ahli Waris Pengganti Bilamana Ahli Waris Lebih Dulu Meninggal Dunia Menurut Kitab Undang-Undang Hukum Perdata. </w:t>
      </w:r>
      <w:r w:rsidR="00540869" w:rsidRPr="00AD14D5">
        <w:rPr>
          <w:rFonts w:ascii="Book Antiqua" w:hAnsi="Book Antiqua"/>
          <w:i/>
        </w:rPr>
        <w:t>Jurnal Kertha Semaya</w:t>
      </w:r>
      <w:r w:rsidR="00540869" w:rsidRPr="00AD14D5">
        <w:rPr>
          <w:rFonts w:ascii="Book Antiqua" w:hAnsi="Book Antiqua"/>
        </w:rPr>
        <w:t>. Vol. 5. No. 2. Hal. 12</w:t>
      </w:r>
    </w:p>
  </w:footnote>
  <w:footnote w:id="18">
    <w:p w14:paraId="78A5529A" w14:textId="6305184E"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540869" w:rsidRPr="00AD14D5">
        <w:rPr>
          <w:rFonts w:ascii="Book Antiqua" w:hAnsi="Book Antiqua"/>
          <w:color w:val="000000"/>
        </w:rPr>
        <w:t xml:space="preserve">Muhammad Amin Hamid. 2014. Tinjauan Yuridis Atas Ahli Waris Pengganti Dalam Hukum Waris. </w:t>
      </w:r>
      <w:r w:rsidR="00540869" w:rsidRPr="00AD14D5">
        <w:rPr>
          <w:rFonts w:ascii="Book Antiqua" w:hAnsi="Book Antiqua"/>
          <w:i/>
          <w:color w:val="000000"/>
        </w:rPr>
        <w:t>Jurnal Legal Pluralism</w:t>
      </w:r>
      <w:r w:rsidR="00540869" w:rsidRPr="00AD14D5">
        <w:rPr>
          <w:rFonts w:ascii="Book Antiqua" w:hAnsi="Book Antiqua"/>
          <w:color w:val="000000"/>
        </w:rPr>
        <w:t>. Vol. 4. No. 2. Hal. 165</w:t>
      </w:r>
    </w:p>
  </w:footnote>
  <w:footnote w:id="19">
    <w:p w14:paraId="795EC6FE" w14:textId="77EBC916" w:rsidR="009061AC" w:rsidRPr="00AD14D5" w:rsidRDefault="009061AC" w:rsidP="00AD14D5">
      <w:pPr>
        <w:pStyle w:val="FootnoteText"/>
        <w:jc w:val="both"/>
        <w:rPr>
          <w:rFonts w:ascii="Book Antiqua" w:hAnsi="Book Antiqua"/>
          <w:lang w:val="id-ID"/>
        </w:rPr>
      </w:pPr>
      <w:r w:rsidRPr="00AD14D5">
        <w:rPr>
          <w:rStyle w:val="FootnoteReference"/>
          <w:rFonts w:ascii="Book Antiqua" w:hAnsi="Book Antiqua"/>
        </w:rPr>
        <w:footnoteRef/>
      </w:r>
      <w:r w:rsidR="00540869" w:rsidRPr="00AD14D5">
        <w:rPr>
          <w:rFonts w:ascii="Book Antiqua" w:hAnsi="Book Antiqua"/>
        </w:rPr>
        <w:t>Moch Dani Pratama Huzaini. 2019. dipublish pada hukumonline.com dengan judul artikel: Mengenal Kembali Plaatsvervulling dalam Hukum Kewarisan Nasional. (https://www.hukumonline.com/berita/baca/lt5cf785616f9ab/mengenal-kembali-iplaatsvervulling-i-dalam-hukum-kewarisan-nasional/) diakses pada Kamis, 02 desember 2021, pukul 13.47 wita</w:t>
      </w:r>
    </w:p>
  </w:footnote>
  <w:footnote w:id="20">
    <w:p w14:paraId="239F66BE" w14:textId="3DB482CF" w:rsidR="00C71C1B" w:rsidRPr="00AD14D5" w:rsidRDefault="00C71C1B"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876050" w:rsidRPr="00876050">
        <w:rPr>
          <w:rFonts w:ascii="Book Antiqua" w:hAnsi="Book Antiqua"/>
        </w:rPr>
        <w:t>Fence M. Wantu dan Usman Rasyid. “Redefinisi Kewenangan Komisi Yudisial Dalam Konstitusi: Upaya Mengharmonisasikan Putusan Pelaku Kekuasaan Kehakiman Indonesia”. Jurnal Majelis. Edisi 08. September 2020.</w:t>
      </w:r>
    </w:p>
  </w:footnote>
  <w:footnote w:id="21">
    <w:p w14:paraId="4404F197" w14:textId="763A74DF" w:rsidR="007C23B7" w:rsidRPr="00AD14D5" w:rsidRDefault="007C23B7"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876050" w:rsidRPr="00AD14D5">
        <w:rPr>
          <w:rFonts w:ascii="Book Antiqua" w:hAnsi="Book Antiqua"/>
          <w:color w:val="000000"/>
        </w:rPr>
        <w:t xml:space="preserve">Eko Hidayat. 2017. Kompilasi Hukum Islam Dalam Tata Hukum Nasional. </w:t>
      </w:r>
      <w:r w:rsidR="00876050" w:rsidRPr="00AD14D5">
        <w:rPr>
          <w:rFonts w:ascii="Book Antiqua" w:hAnsi="Book Antiqua"/>
          <w:i/>
          <w:color w:val="000000"/>
        </w:rPr>
        <w:t>Jurnal Sistemis UIN Raden Intan Lampung.</w:t>
      </w:r>
      <w:r w:rsidR="00876050" w:rsidRPr="00AD14D5">
        <w:rPr>
          <w:rFonts w:ascii="Book Antiqua" w:hAnsi="Book Antiqua"/>
          <w:color w:val="000000"/>
        </w:rPr>
        <w:t xml:space="preserve"> Hal. 191.</w:t>
      </w:r>
    </w:p>
  </w:footnote>
  <w:footnote w:id="22">
    <w:p w14:paraId="0CB4F651" w14:textId="50DEF1A6" w:rsidR="007C23B7" w:rsidRPr="00AD14D5" w:rsidRDefault="007C23B7"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https://putusan3.mahkamahagung.go.id/search.html?q=%22Ahliwaris%20pengganti%20%22&amp;court=307250PA528 (diakses pada Rabu, 15 Desember 2021. Pukul 13.28 wita</w:t>
      </w:r>
    </w:p>
  </w:footnote>
  <w:footnote w:id="23">
    <w:p w14:paraId="155A2758" w14:textId="0F89FDB3" w:rsidR="007C23B7" w:rsidRPr="00AD14D5" w:rsidRDefault="007C23B7" w:rsidP="00AD14D5">
      <w:pPr>
        <w:pStyle w:val="FootnoteText"/>
        <w:jc w:val="both"/>
        <w:rPr>
          <w:rFonts w:ascii="Book Antiqua" w:hAnsi="Book Antiqua"/>
          <w:color w:val="000000"/>
        </w:rPr>
      </w:pPr>
      <w:r w:rsidRPr="00AD14D5">
        <w:rPr>
          <w:rStyle w:val="FootnoteReference"/>
          <w:rFonts w:ascii="Book Antiqua" w:hAnsi="Book Antiqua"/>
        </w:rPr>
        <w:footnoteRef/>
      </w:r>
      <w:r w:rsidRPr="00AD14D5">
        <w:rPr>
          <w:rFonts w:ascii="Book Antiqua" w:hAnsi="Book Antiqua"/>
        </w:rPr>
        <w:t xml:space="preserve"> </w:t>
      </w:r>
      <w:r w:rsidR="00876050" w:rsidRPr="00AD14D5">
        <w:rPr>
          <w:rFonts w:ascii="Book Antiqua" w:hAnsi="Book Antiqua"/>
          <w:lang w:val="id-ID"/>
        </w:rPr>
        <w:t>L</w:t>
      </w:r>
      <w:r w:rsidR="00876050" w:rsidRPr="00AD14D5">
        <w:rPr>
          <w:rFonts w:ascii="Book Antiqua" w:hAnsi="Book Antiqua"/>
          <w:color w:val="000000"/>
        </w:rPr>
        <w:t>ihat petitum oleh pemohon pada perkaran nomor: 132/Pdt.P/2019/PA.Gtlo</w:t>
      </w:r>
    </w:p>
  </w:footnote>
  <w:footnote w:id="24">
    <w:p w14:paraId="3646C309" w14:textId="77777777" w:rsidR="000B25D0" w:rsidRPr="00AD14D5" w:rsidRDefault="000B25D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Pr="00AD14D5">
        <w:rPr>
          <w:rFonts w:ascii="Book Antiqua" w:hAnsi="Book Antiqua"/>
          <w:color w:val="000000"/>
        </w:rPr>
        <w:t>Article 185 KHI.</w:t>
      </w:r>
    </w:p>
  </w:footnote>
  <w:footnote w:id="25">
    <w:p w14:paraId="53B50769" w14:textId="57F1F408" w:rsidR="000B25D0" w:rsidRPr="00AD14D5" w:rsidRDefault="000B25D0"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color w:val="000000"/>
        </w:rPr>
        <w:t>Lihat: Putusan Nomor:132/Pdt. P/2019/PA.Gtlo. (lihat pula ketentuan yang berhak menjadi ahli waris pengganti menurut KHI).</w:t>
      </w:r>
      <w:r w:rsidRPr="00AD14D5">
        <w:rPr>
          <w:rFonts w:ascii="Book Antiqua" w:hAnsi="Book Antiqua"/>
          <w:color w:val="000000"/>
        </w:rPr>
        <w:t>.</w:t>
      </w:r>
    </w:p>
  </w:footnote>
  <w:footnote w:id="26">
    <w:p w14:paraId="62EA2A7F" w14:textId="77777777" w:rsidR="000B25D0" w:rsidRPr="00AD14D5" w:rsidRDefault="000B25D0" w:rsidP="00AD14D5">
      <w:pPr>
        <w:pStyle w:val="FootnoteText"/>
        <w:jc w:val="both"/>
        <w:rPr>
          <w:rFonts w:ascii="Book Antiqua" w:hAnsi="Book Antiqua"/>
          <w:i/>
          <w:iCs/>
          <w:lang w:val="id-ID"/>
        </w:rPr>
      </w:pPr>
      <w:r w:rsidRPr="00AD14D5">
        <w:rPr>
          <w:rStyle w:val="FootnoteReference"/>
          <w:rFonts w:ascii="Book Antiqua" w:hAnsi="Book Antiqua"/>
        </w:rPr>
        <w:footnoteRef/>
      </w:r>
      <w:r w:rsidRPr="00AD14D5">
        <w:rPr>
          <w:rFonts w:ascii="Book Antiqua" w:hAnsi="Book Antiqua"/>
        </w:rPr>
        <w:t xml:space="preserve"> </w:t>
      </w:r>
      <w:r w:rsidRPr="00AD14D5">
        <w:rPr>
          <w:rFonts w:ascii="Book Antiqua" w:hAnsi="Book Antiqua"/>
          <w:i/>
          <w:iCs/>
          <w:lang w:val="id-ID"/>
        </w:rPr>
        <w:t>Ibid.</w:t>
      </w:r>
    </w:p>
  </w:footnote>
  <w:footnote w:id="27">
    <w:p w14:paraId="4C6D44CB" w14:textId="6ADA1784" w:rsidR="00782DC5" w:rsidRPr="00AD14D5" w:rsidRDefault="00782DC5"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 xml:space="preserve">Sarah Humairah, dkk. 2021. Kedudukan Ahli Waris Pengganti Dalam Hukum Waris Islam. </w:t>
      </w:r>
      <w:r w:rsidR="00876050" w:rsidRPr="00AD14D5">
        <w:rPr>
          <w:rFonts w:ascii="Book Antiqua" w:hAnsi="Book Antiqua"/>
          <w:i/>
        </w:rPr>
        <w:t>Jurnal Al-HIkmah</w:t>
      </w:r>
      <w:r w:rsidR="00876050" w:rsidRPr="00AD14D5">
        <w:rPr>
          <w:rFonts w:ascii="Book Antiqua" w:hAnsi="Book Antiqua"/>
        </w:rPr>
        <w:t>. Vol. 2 No. 3. Hal. 556</w:t>
      </w:r>
    </w:p>
  </w:footnote>
  <w:footnote w:id="28">
    <w:p w14:paraId="16F506DA" w14:textId="69B4E59A" w:rsidR="000B25D0" w:rsidRPr="00AD14D5" w:rsidRDefault="000B25D0"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Lihat pada amar putusan perkara No. 0271/Pdt.P/2018/PA.Gtlo</w:t>
      </w:r>
    </w:p>
  </w:footnote>
  <w:footnote w:id="29">
    <w:p w14:paraId="51148A46" w14:textId="37232370" w:rsidR="000B25D0" w:rsidRPr="00AD14D5" w:rsidRDefault="000B25D0"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 xml:space="preserve">Sugiri Permana. 2018. Kesetaraan Gender Dalam Ijtihad Hukum Waris Di Indonesia. </w:t>
      </w:r>
      <w:r w:rsidR="00876050" w:rsidRPr="00AD14D5">
        <w:rPr>
          <w:rFonts w:ascii="Book Antiqua" w:hAnsi="Book Antiqua"/>
          <w:i/>
        </w:rPr>
        <w:t>Jurnal Asy-Syari‘ah</w:t>
      </w:r>
      <w:r w:rsidR="00876050" w:rsidRPr="00AD14D5">
        <w:rPr>
          <w:rFonts w:ascii="Book Antiqua" w:hAnsi="Book Antiqua"/>
        </w:rPr>
        <w:t>. Vol. 20. No. 2. Hal. 129</w:t>
      </w:r>
    </w:p>
  </w:footnote>
  <w:footnote w:id="30">
    <w:p w14:paraId="1C09784C" w14:textId="74AF439F" w:rsidR="00B04703" w:rsidRPr="00AD14D5" w:rsidRDefault="00B04703"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 xml:space="preserve">Muahimin.2020. </w:t>
      </w:r>
      <w:r w:rsidR="00876050" w:rsidRPr="00AD14D5">
        <w:rPr>
          <w:rFonts w:ascii="Book Antiqua" w:hAnsi="Book Antiqua"/>
          <w:i/>
        </w:rPr>
        <w:t>Metode Penelitian Hukum.</w:t>
      </w:r>
      <w:r w:rsidR="00876050" w:rsidRPr="00AD14D5">
        <w:rPr>
          <w:rFonts w:ascii="Book Antiqua" w:hAnsi="Book Antiqua"/>
        </w:rPr>
        <w:t xml:space="preserve"> Mataram: Mataram University Press. Hal. 115.</w:t>
      </w:r>
    </w:p>
  </w:footnote>
  <w:footnote w:id="31">
    <w:p w14:paraId="3258BF6C" w14:textId="59244BB4" w:rsidR="003313B9" w:rsidRPr="00AD14D5" w:rsidRDefault="003313B9"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 xml:space="preserve"> </w:t>
      </w:r>
      <w:r w:rsidR="00876050" w:rsidRPr="00AD14D5">
        <w:rPr>
          <w:rFonts w:ascii="Book Antiqua" w:hAnsi="Book Antiqua"/>
          <w:color w:val="000000"/>
        </w:rPr>
        <w:t xml:space="preserve">Mukti Fajar &amp; Yulianto Achmad. </w:t>
      </w:r>
      <w:r w:rsidR="00876050" w:rsidRPr="00AD14D5">
        <w:rPr>
          <w:rFonts w:ascii="Book Antiqua" w:hAnsi="Book Antiqua"/>
        </w:rPr>
        <w:t xml:space="preserve">2010. </w:t>
      </w:r>
      <w:r w:rsidR="00876050" w:rsidRPr="00AD14D5">
        <w:rPr>
          <w:rFonts w:ascii="Book Antiqua" w:hAnsi="Book Antiqua"/>
          <w:i/>
        </w:rPr>
        <w:t>Dualisme Penelitian Hukum Empiris dan Normatif,</w:t>
      </w:r>
      <w:r w:rsidR="00876050" w:rsidRPr="00AD14D5">
        <w:rPr>
          <w:rFonts w:ascii="Book Antiqua" w:hAnsi="Book Antiqua"/>
        </w:rPr>
        <w:t xml:space="preserve"> Yogyakarta: Pustaka Pelajar</w:t>
      </w:r>
      <w:r w:rsidR="00876050" w:rsidRPr="00AD14D5">
        <w:rPr>
          <w:rFonts w:ascii="Book Antiqua" w:hAnsi="Book Antiqua"/>
          <w:color w:val="000000"/>
        </w:rPr>
        <w:t xml:space="preserve"> Hal 222.</w:t>
      </w:r>
    </w:p>
  </w:footnote>
  <w:footnote w:id="32">
    <w:p w14:paraId="11B45479" w14:textId="2F80D81E" w:rsidR="00381C20" w:rsidRPr="00AD14D5" w:rsidRDefault="00381C20" w:rsidP="00AD14D5">
      <w:pPr>
        <w:pStyle w:val="FootnoteText"/>
        <w:jc w:val="both"/>
        <w:rPr>
          <w:rFonts w:ascii="Book Antiqua" w:hAnsi="Book Antiqua"/>
          <w:lang w:val="id-ID"/>
        </w:rPr>
      </w:pPr>
      <w:r w:rsidRPr="00AD14D5">
        <w:rPr>
          <w:rStyle w:val="FootnoteReference"/>
          <w:rFonts w:ascii="Book Antiqua" w:hAnsi="Book Antiqua"/>
        </w:rPr>
        <w:footnoteRef/>
      </w:r>
      <w:r w:rsidRPr="00AD14D5">
        <w:rPr>
          <w:rFonts w:ascii="Book Antiqua" w:hAnsi="Book Antiqua"/>
        </w:rPr>
        <w:t>Article 185 KHI.</w:t>
      </w:r>
    </w:p>
  </w:footnote>
  <w:footnote w:id="33">
    <w:p w14:paraId="4E196F50" w14:textId="77777777" w:rsidR="00381C20" w:rsidRPr="00AD14D5" w:rsidRDefault="00381C20" w:rsidP="00AD14D5">
      <w:pPr>
        <w:pStyle w:val="FootnoteText"/>
        <w:jc w:val="both"/>
        <w:rPr>
          <w:rFonts w:ascii="Book Antiqua" w:hAnsi="Book Antiqua"/>
          <w:i/>
          <w:iCs/>
          <w:lang w:val="id-ID"/>
        </w:rPr>
      </w:pPr>
      <w:r w:rsidRPr="00AD14D5">
        <w:rPr>
          <w:rStyle w:val="FootnoteReference"/>
          <w:rFonts w:ascii="Book Antiqua" w:hAnsi="Book Antiqua"/>
        </w:rPr>
        <w:footnoteRef/>
      </w:r>
      <w:r w:rsidRPr="00AD14D5">
        <w:rPr>
          <w:rFonts w:ascii="Book Antiqua" w:hAnsi="Book Antiqua"/>
        </w:rPr>
        <w:t xml:space="preserve"> </w:t>
      </w:r>
      <w:r w:rsidRPr="00AD14D5">
        <w:rPr>
          <w:rFonts w:ascii="Book Antiqua" w:hAnsi="Book Antiqua"/>
          <w:i/>
          <w:iCs/>
          <w:lang w:val="id-ID"/>
        </w:rPr>
        <w:t>Ibid</w:t>
      </w:r>
    </w:p>
  </w:footnote>
  <w:footnote w:id="34">
    <w:p w14:paraId="40D0233C" w14:textId="733FDAB7" w:rsidR="00C23415" w:rsidRPr="00AD14D5" w:rsidRDefault="00C23415"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I Gusti Agung Ketut Bagus Wira Adi Putra. 2020. Gugatan Tidak Dapat Diterima (</w:t>
      </w:r>
      <w:r w:rsidR="00876050" w:rsidRPr="00AD14D5">
        <w:rPr>
          <w:rFonts w:ascii="Book Antiqua" w:hAnsi="Book Antiqua"/>
          <w:i/>
        </w:rPr>
        <w:t>Niet Ontvankelijke Verklaard</w:t>
      </w:r>
      <w:r w:rsidR="00876050" w:rsidRPr="00AD14D5">
        <w:rPr>
          <w:rFonts w:ascii="Book Antiqua" w:hAnsi="Book Antiqua"/>
        </w:rPr>
        <w:t xml:space="preserve">) Dalam Gugatan Cerai Gugat Di Pengadilan Agama Badung. </w:t>
      </w:r>
      <w:r w:rsidR="00876050" w:rsidRPr="00AD14D5">
        <w:rPr>
          <w:rFonts w:ascii="Book Antiqua" w:hAnsi="Book Antiqua"/>
          <w:i/>
        </w:rPr>
        <w:t>Jurnal Konstruksi Hukum</w:t>
      </w:r>
      <w:r w:rsidR="00876050" w:rsidRPr="00AD14D5">
        <w:rPr>
          <w:rFonts w:ascii="Book Antiqua" w:hAnsi="Book Antiqua"/>
        </w:rPr>
        <w:t>. Vol. 1. No. 2. Hal. 307.</w:t>
      </w:r>
    </w:p>
  </w:footnote>
  <w:footnote w:id="35">
    <w:p w14:paraId="0BE4801A" w14:textId="3A95322B" w:rsidR="00B01B52" w:rsidRPr="00AD14D5" w:rsidRDefault="00B01B52" w:rsidP="00AD14D5">
      <w:pPr>
        <w:pStyle w:val="FootnoteText"/>
        <w:jc w:val="both"/>
        <w:rPr>
          <w:rFonts w:ascii="Book Antiqua" w:hAnsi="Book Antiqua"/>
          <w:lang w:val="id-ID"/>
        </w:rPr>
      </w:pPr>
      <w:r w:rsidRPr="00AD14D5">
        <w:rPr>
          <w:rStyle w:val="FootnoteReference"/>
          <w:rFonts w:ascii="Book Antiqua" w:hAnsi="Book Antiqua"/>
        </w:rPr>
        <w:footnoteRef/>
      </w:r>
      <w:r w:rsidR="00876050" w:rsidRPr="00AD14D5">
        <w:rPr>
          <w:rFonts w:ascii="Book Antiqua" w:hAnsi="Book Antiqua"/>
        </w:rPr>
        <w:t>Lihat pula pada fakta persidangan yang diuraikan dalam putusan perkara No. 132/Pdt.P/2019/PA.Gtlo</w:t>
      </w:r>
    </w:p>
  </w:footnote>
  <w:footnote w:id="36">
    <w:p w14:paraId="58132DFA" w14:textId="5CB7EBFB" w:rsidR="00C23415" w:rsidRPr="00AD14D5" w:rsidRDefault="00C23415" w:rsidP="00AD14D5">
      <w:pPr>
        <w:pStyle w:val="FootnoteText"/>
        <w:jc w:val="both"/>
        <w:rPr>
          <w:rFonts w:ascii="Book Antiqua" w:hAnsi="Book Antiqua"/>
        </w:rPr>
      </w:pPr>
      <w:r w:rsidRPr="00AD14D5">
        <w:rPr>
          <w:rStyle w:val="FootnoteReference"/>
          <w:rFonts w:ascii="Book Antiqua" w:hAnsi="Book Antiqua"/>
        </w:rPr>
        <w:footnoteRef/>
      </w:r>
      <w:r w:rsidR="00876050" w:rsidRPr="00AD14D5">
        <w:rPr>
          <w:rFonts w:ascii="Book Antiqua" w:hAnsi="Book Antiqua"/>
        </w:rPr>
        <w:t>Diana Zuhroh. 2017. Konsep Ahli Waris Dan Ahli Waris Pengganti: Studi Putusan Hakim Pengadilan Agama</w:t>
      </w:r>
      <w:r w:rsidR="00876050" w:rsidRPr="00AD14D5">
        <w:rPr>
          <w:rFonts w:ascii="Book Antiqua" w:hAnsi="Book Antiqua"/>
          <w:i/>
        </w:rPr>
        <w:t>. Jurnal Al;Ahkam</w:t>
      </w:r>
      <w:r w:rsidR="00876050" w:rsidRPr="00AD14D5">
        <w:rPr>
          <w:rFonts w:ascii="Book Antiqua" w:hAnsi="Book Antiqua"/>
        </w:rPr>
        <w:t>. Vol. 27. No. 1. Hal. 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FE2"/>
    <w:multiLevelType w:val="hybridMultilevel"/>
    <w:tmpl w:val="54ACA024"/>
    <w:lvl w:ilvl="0" w:tplc="04090017">
      <w:start w:val="1"/>
      <w:numFmt w:val="lowerLetter"/>
      <w:lvlText w:val="%1)"/>
      <w:lvlJc w:val="left"/>
      <w:pPr>
        <w:ind w:left="633" w:hanging="360"/>
      </w:pPr>
    </w:lvl>
    <w:lvl w:ilvl="1" w:tplc="04090019" w:tentative="1">
      <w:start w:val="1"/>
      <w:numFmt w:val="lowerLetter"/>
      <w:lvlText w:val="%2."/>
      <w:lvlJc w:val="left"/>
      <w:pPr>
        <w:ind w:left="1353" w:hanging="360"/>
      </w:pPr>
    </w:lvl>
    <w:lvl w:ilvl="2" w:tplc="0409001B" w:tentative="1">
      <w:start w:val="1"/>
      <w:numFmt w:val="lowerRoman"/>
      <w:lvlText w:val="%3."/>
      <w:lvlJc w:val="right"/>
      <w:pPr>
        <w:ind w:left="2073" w:hanging="180"/>
      </w:pPr>
    </w:lvl>
    <w:lvl w:ilvl="3" w:tplc="0409000F" w:tentative="1">
      <w:start w:val="1"/>
      <w:numFmt w:val="decimal"/>
      <w:lvlText w:val="%4."/>
      <w:lvlJc w:val="left"/>
      <w:pPr>
        <w:ind w:left="2793" w:hanging="360"/>
      </w:pPr>
    </w:lvl>
    <w:lvl w:ilvl="4" w:tplc="04090019" w:tentative="1">
      <w:start w:val="1"/>
      <w:numFmt w:val="lowerLetter"/>
      <w:lvlText w:val="%5."/>
      <w:lvlJc w:val="left"/>
      <w:pPr>
        <w:ind w:left="3513" w:hanging="360"/>
      </w:pPr>
    </w:lvl>
    <w:lvl w:ilvl="5" w:tplc="0409001B" w:tentative="1">
      <w:start w:val="1"/>
      <w:numFmt w:val="lowerRoman"/>
      <w:lvlText w:val="%6."/>
      <w:lvlJc w:val="right"/>
      <w:pPr>
        <w:ind w:left="4233" w:hanging="180"/>
      </w:pPr>
    </w:lvl>
    <w:lvl w:ilvl="6" w:tplc="0409000F" w:tentative="1">
      <w:start w:val="1"/>
      <w:numFmt w:val="decimal"/>
      <w:lvlText w:val="%7."/>
      <w:lvlJc w:val="left"/>
      <w:pPr>
        <w:ind w:left="4953" w:hanging="360"/>
      </w:pPr>
    </w:lvl>
    <w:lvl w:ilvl="7" w:tplc="04090019" w:tentative="1">
      <w:start w:val="1"/>
      <w:numFmt w:val="lowerLetter"/>
      <w:lvlText w:val="%8."/>
      <w:lvlJc w:val="left"/>
      <w:pPr>
        <w:ind w:left="5673" w:hanging="360"/>
      </w:pPr>
    </w:lvl>
    <w:lvl w:ilvl="8" w:tplc="0409001B" w:tentative="1">
      <w:start w:val="1"/>
      <w:numFmt w:val="lowerRoman"/>
      <w:lvlText w:val="%9."/>
      <w:lvlJc w:val="right"/>
      <w:pPr>
        <w:ind w:left="6393" w:hanging="180"/>
      </w:pPr>
    </w:lvl>
  </w:abstractNum>
  <w:abstractNum w:abstractNumId="1" w15:restartNumberingAfterBreak="0">
    <w:nsid w:val="106940A5"/>
    <w:multiLevelType w:val="hybridMultilevel"/>
    <w:tmpl w:val="3BBC2BE4"/>
    <w:lvl w:ilvl="0" w:tplc="6B540684">
      <w:start w:val="1"/>
      <w:numFmt w:val="lowerLetter"/>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44A2093"/>
    <w:multiLevelType w:val="hybridMultilevel"/>
    <w:tmpl w:val="AE68424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15:restartNumberingAfterBreak="0">
    <w:nsid w:val="18867A77"/>
    <w:multiLevelType w:val="hybridMultilevel"/>
    <w:tmpl w:val="F23CA590"/>
    <w:lvl w:ilvl="0" w:tplc="760E56D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BEC71B5"/>
    <w:multiLevelType w:val="hybridMultilevel"/>
    <w:tmpl w:val="AECEB0AC"/>
    <w:lvl w:ilvl="0" w:tplc="9876887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DE91DDD"/>
    <w:multiLevelType w:val="hybridMultilevel"/>
    <w:tmpl w:val="8AEADF52"/>
    <w:lvl w:ilvl="0" w:tplc="68A2851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22F1226D"/>
    <w:multiLevelType w:val="hybridMultilevel"/>
    <w:tmpl w:val="4844E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95D84"/>
    <w:multiLevelType w:val="hybridMultilevel"/>
    <w:tmpl w:val="6C1E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F82E8E"/>
    <w:multiLevelType w:val="hybridMultilevel"/>
    <w:tmpl w:val="9F9A73E4"/>
    <w:lvl w:ilvl="0" w:tplc="7194B69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45D54EE5"/>
    <w:multiLevelType w:val="hybridMultilevel"/>
    <w:tmpl w:val="D3DE8510"/>
    <w:lvl w:ilvl="0" w:tplc="68A28512">
      <w:start w:val="1"/>
      <w:numFmt w:val="lowerLetter"/>
      <w:lvlText w:val="%1."/>
      <w:lvlJc w:val="left"/>
      <w:pPr>
        <w:ind w:left="1070"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46E7515E"/>
    <w:multiLevelType w:val="hybridMultilevel"/>
    <w:tmpl w:val="00E0D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6216B3"/>
    <w:multiLevelType w:val="hybridMultilevel"/>
    <w:tmpl w:val="E6F49D76"/>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75405887"/>
    <w:multiLevelType w:val="hybridMultilevel"/>
    <w:tmpl w:val="AC861718"/>
    <w:lvl w:ilvl="0" w:tplc="04090019">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3" w15:restartNumberingAfterBreak="0">
    <w:nsid w:val="763E7B68"/>
    <w:multiLevelType w:val="hybridMultilevel"/>
    <w:tmpl w:val="41C6A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8DA241C"/>
    <w:multiLevelType w:val="multilevel"/>
    <w:tmpl w:val="8DFEC9AE"/>
    <w:lvl w:ilvl="0">
      <w:start w:val="1"/>
      <w:numFmt w:val="decimal"/>
      <w:lvlText w:val="%1."/>
      <w:lvlJc w:val="left"/>
      <w:pPr>
        <w:ind w:left="1440" w:hanging="360"/>
      </w:pPr>
      <w:rPr>
        <w:b/>
        <w:i w:val="0"/>
        <w:sz w:val="28"/>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240" w:hanging="2160"/>
      </w:pPr>
      <w:rPr>
        <w:rFonts w:hint="default"/>
      </w:rPr>
    </w:lvl>
  </w:abstractNum>
  <w:abstractNum w:abstractNumId="15" w15:restartNumberingAfterBreak="0">
    <w:nsid w:val="79312E93"/>
    <w:multiLevelType w:val="hybridMultilevel"/>
    <w:tmpl w:val="A44EE5D6"/>
    <w:lvl w:ilvl="0" w:tplc="9730841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857496273">
    <w:abstractNumId w:val="6"/>
  </w:num>
  <w:num w:numId="2" w16cid:durableId="775297113">
    <w:abstractNumId w:val="0"/>
  </w:num>
  <w:num w:numId="3" w16cid:durableId="1300450604">
    <w:abstractNumId w:val="12"/>
  </w:num>
  <w:num w:numId="4" w16cid:durableId="1429544155">
    <w:abstractNumId w:val="7"/>
  </w:num>
  <w:num w:numId="5" w16cid:durableId="723602730">
    <w:abstractNumId w:val="13"/>
  </w:num>
  <w:num w:numId="6" w16cid:durableId="49161153">
    <w:abstractNumId w:val="10"/>
  </w:num>
  <w:num w:numId="7" w16cid:durableId="1770732279">
    <w:abstractNumId w:val="14"/>
  </w:num>
  <w:num w:numId="8" w16cid:durableId="1491675534">
    <w:abstractNumId w:val="11"/>
  </w:num>
  <w:num w:numId="9" w16cid:durableId="1597401230">
    <w:abstractNumId w:val="1"/>
  </w:num>
  <w:num w:numId="10" w16cid:durableId="1884361322">
    <w:abstractNumId w:val="3"/>
  </w:num>
  <w:num w:numId="11" w16cid:durableId="330526308">
    <w:abstractNumId w:val="2"/>
  </w:num>
  <w:num w:numId="12" w16cid:durableId="1080711685">
    <w:abstractNumId w:val="15"/>
  </w:num>
  <w:num w:numId="13" w16cid:durableId="990527660">
    <w:abstractNumId w:val="8"/>
  </w:num>
  <w:num w:numId="14" w16cid:durableId="1205604335">
    <w:abstractNumId w:val="5"/>
  </w:num>
  <w:num w:numId="15" w16cid:durableId="1913464956">
    <w:abstractNumId w:val="9"/>
  </w:num>
  <w:num w:numId="16" w16cid:durableId="16717141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defaultTabStop w:val="720"/>
  <w:characterSpacingControl w:val="doNotCompres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4F0EAE"/>
    <w:rsid w:val="00007603"/>
    <w:rsid w:val="000413C0"/>
    <w:rsid w:val="000B25D0"/>
    <w:rsid w:val="00154C4D"/>
    <w:rsid w:val="0018486C"/>
    <w:rsid w:val="001F16E9"/>
    <w:rsid w:val="001F7472"/>
    <w:rsid w:val="00234BC9"/>
    <w:rsid w:val="003064C8"/>
    <w:rsid w:val="003313B9"/>
    <w:rsid w:val="00381C20"/>
    <w:rsid w:val="004437AE"/>
    <w:rsid w:val="004B3D44"/>
    <w:rsid w:val="004C1A90"/>
    <w:rsid w:val="004F0EAE"/>
    <w:rsid w:val="00503A8C"/>
    <w:rsid w:val="005367A3"/>
    <w:rsid w:val="00537B6F"/>
    <w:rsid w:val="00540869"/>
    <w:rsid w:val="00604668"/>
    <w:rsid w:val="00622FF3"/>
    <w:rsid w:val="00645602"/>
    <w:rsid w:val="00684408"/>
    <w:rsid w:val="006949B8"/>
    <w:rsid w:val="00696648"/>
    <w:rsid w:val="007243A0"/>
    <w:rsid w:val="00734407"/>
    <w:rsid w:val="00766E78"/>
    <w:rsid w:val="00782DC5"/>
    <w:rsid w:val="00783293"/>
    <w:rsid w:val="007C23B7"/>
    <w:rsid w:val="007C4529"/>
    <w:rsid w:val="00832A3F"/>
    <w:rsid w:val="00876050"/>
    <w:rsid w:val="009061AC"/>
    <w:rsid w:val="00911CB9"/>
    <w:rsid w:val="009152C9"/>
    <w:rsid w:val="009265E0"/>
    <w:rsid w:val="0096268C"/>
    <w:rsid w:val="0099093E"/>
    <w:rsid w:val="009C2717"/>
    <w:rsid w:val="009C765A"/>
    <w:rsid w:val="00A222E7"/>
    <w:rsid w:val="00A81643"/>
    <w:rsid w:val="00A91C9E"/>
    <w:rsid w:val="00AD14D5"/>
    <w:rsid w:val="00B01B52"/>
    <w:rsid w:val="00B04703"/>
    <w:rsid w:val="00BE497A"/>
    <w:rsid w:val="00C23415"/>
    <w:rsid w:val="00C71C1B"/>
    <w:rsid w:val="00CC67D7"/>
    <w:rsid w:val="00CE5266"/>
    <w:rsid w:val="00CF0340"/>
    <w:rsid w:val="00D2563E"/>
    <w:rsid w:val="00D3254B"/>
    <w:rsid w:val="00D85C74"/>
    <w:rsid w:val="00DB392C"/>
    <w:rsid w:val="00DC70F7"/>
    <w:rsid w:val="00E900EC"/>
    <w:rsid w:val="00EA6DF6"/>
    <w:rsid w:val="00EC6D1B"/>
    <w:rsid w:val="00F13B40"/>
    <w:rsid w:val="00F33D9C"/>
    <w:rsid w:val="00F73F59"/>
    <w:rsid w:val="00F8635C"/>
    <w:rsid w:val="00FE23D5"/>
    <w:rsid w:val="00FE42E3"/>
    <w:rsid w:val="00FF69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34D2156"/>
  <w15:docId w15:val="{B695A4F2-6C7D-4D48-AA9B-C56C32B1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717"/>
    <w:pPr>
      <w:spacing w:line="360" w:lineRule="auto"/>
      <w:ind w:left="720"/>
      <w:jc w:val="both"/>
    </w:pPr>
    <w:rPr>
      <w:sz w:val="22"/>
      <w:szCs w:val="22"/>
    </w:rPr>
  </w:style>
  <w:style w:type="paragraph" w:styleId="Heading1">
    <w:name w:val="heading 1"/>
    <w:next w:val="Normal"/>
    <w:link w:val="Heading1Char"/>
    <w:qFormat/>
    <w:rsid w:val="004F0EAE"/>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eastAsia="fi-FI"/>
    </w:rPr>
  </w:style>
  <w:style w:type="paragraph" w:styleId="Heading2">
    <w:name w:val="heading 2"/>
    <w:basedOn w:val="Normal"/>
    <w:next w:val="Normal"/>
    <w:link w:val="Heading2Char"/>
    <w:uiPriority w:val="9"/>
    <w:semiHidden/>
    <w:unhideWhenUsed/>
    <w:qFormat/>
    <w:rsid w:val="003313B9"/>
    <w:pPr>
      <w:keepNext/>
      <w:spacing w:before="240" w:after="60"/>
      <w:outlineLvl w:val="1"/>
    </w:pPr>
    <w:rPr>
      <w:rFonts w:ascii="Cambria" w:eastAsia="Times New Roman" w:hAnsi="Cambria"/>
      <w:b/>
      <w:bCs/>
      <w:i/>
      <w:iCs/>
      <w:sz w:val="28"/>
      <w:szCs w:val="28"/>
    </w:rPr>
  </w:style>
  <w:style w:type="paragraph" w:styleId="Heading3">
    <w:name w:val="heading 3"/>
    <w:next w:val="Normal"/>
    <w:link w:val="Heading3Char"/>
    <w:qFormat/>
    <w:rsid w:val="004F0EAE"/>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eastAsia="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F0EAE"/>
    <w:rPr>
      <w:rFonts w:ascii="Times New Roman Bold" w:eastAsia="Times New Roman Bold" w:hAnsi="Times New Roman Bold" w:cs="Times New Roman Bold"/>
      <w:color w:val="000000"/>
      <w:sz w:val="28"/>
      <w:szCs w:val="28"/>
      <w:u w:color="000000"/>
      <w:bdr w:val="nil"/>
      <w:lang w:val="en" w:eastAsia="fi-FI"/>
    </w:rPr>
  </w:style>
  <w:style w:type="character" w:customStyle="1" w:styleId="Heading3Char">
    <w:name w:val="Heading 3 Char"/>
    <w:link w:val="Heading3"/>
    <w:rsid w:val="004F0EAE"/>
    <w:rPr>
      <w:rFonts w:ascii="Times New Roman" w:eastAsia="Times New Roman" w:hAnsi="Times New Roman"/>
      <w:color w:val="000000"/>
      <w:sz w:val="24"/>
      <w:szCs w:val="24"/>
      <w:u w:color="000000"/>
      <w:bdr w:val="nil"/>
      <w:lang w:val="en" w:eastAsia="fi-FI"/>
    </w:rPr>
  </w:style>
  <w:style w:type="paragraph" w:styleId="FootnoteText">
    <w:name w:val="footnote text"/>
    <w:aliases w:val="Char1,Footnote Text Char Char,Footnote Text Char Char Char Char Char,Footnote Text Char Char Char Char Char Char Char Char,Footnote Text Char Char Char Char Char Char Char Char Char Char Char Char Char Char,Char Char"/>
    <w:basedOn w:val="Normal"/>
    <w:link w:val="FootnoteTextChar"/>
    <w:uiPriority w:val="99"/>
    <w:rsid w:val="004F0EAE"/>
    <w:pPr>
      <w:spacing w:line="240" w:lineRule="auto"/>
      <w:ind w:left="0"/>
      <w:jc w:val="left"/>
    </w:pPr>
    <w:rPr>
      <w:rFonts w:ascii="Times New Roman" w:eastAsia="SimSun" w:hAnsi="Times New Roman"/>
      <w:sz w:val="20"/>
      <w:szCs w:val="20"/>
      <w:lang w:eastAsia="zh-CN"/>
    </w:rPr>
  </w:style>
  <w:style w:type="character" w:customStyle="1" w:styleId="FootnoteTextChar">
    <w:name w:val="Footnote Text Char"/>
    <w:aliases w:val="Char1 Char,Footnote Text Char Char Char,Footnote Text Char Char Char Char Char Char,Footnote Text Char Char Char Char Char Char Char Char Char,Footnote Text Char Char Char Char Char Char Char Char Char Char Char Char Char Char Char"/>
    <w:link w:val="FootnoteText"/>
    <w:uiPriority w:val="99"/>
    <w:rsid w:val="004F0EAE"/>
    <w:rPr>
      <w:rFonts w:ascii="Times New Roman" w:eastAsia="SimSun" w:hAnsi="Times New Roman"/>
      <w:lang w:val="en" w:eastAsia="zh-CN"/>
    </w:rPr>
  </w:style>
  <w:style w:type="character" w:styleId="FootnoteReference">
    <w:name w:val="footnote reference"/>
    <w:uiPriority w:val="99"/>
    <w:rsid w:val="004F0EAE"/>
    <w:rPr>
      <w:vertAlign w:val="superscript"/>
    </w:rPr>
  </w:style>
  <w:style w:type="paragraph" w:styleId="ListParagraph">
    <w:name w:val="List Paragraph"/>
    <w:basedOn w:val="Normal"/>
    <w:uiPriority w:val="99"/>
    <w:qFormat/>
    <w:rsid w:val="004F0EAE"/>
    <w:pPr>
      <w:spacing w:after="200" w:line="276" w:lineRule="auto"/>
      <w:contextualSpacing/>
      <w:jc w:val="left"/>
    </w:pPr>
    <w:rPr>
      <w:szCs w:val="28"/>
      <w:lang w:bidi="bn-IN"/>
    </w:rPr>
  </w:style>
  <w:style w:type="paragraph" w:styleId="Footer">
    <w:name w:val="footer"/>
    <w:basedOn w:val="Normal"/>
    <w:link w:val="FooterChar"/>
    <w:uiPriority w:val="99"/>
    <w:unhideWhenUsed/>
    <w:rsid w:val="004F0EAE"/>
    <w:pPr>
      <w:tabs>
        <w:tab w:val="center" w:pos="4680"/>
        <w:tab w:val="right" w:pos="9360"/>
      </w:tabs>
      <w:spacing w:line="240" w:lineRule="auto"/>
      <w:ind w:left="0"/>
      <w:jc w:val="left"/>
    </w:pPr>
    <w:rPr>
      <w:szCs w:val="28"/>
      <w:lang w:bidi="bn-IN"/>
    </w:rPr>
  </w:style>
  <w:style w:type="character" w:customStyle="1" w:styleId="FooterChar">
    <w:name w:val="Footer Char"/>
    <w:link w:val="Footer"/>
    <w:uiPriority w:val="99"/>
    <w:rsid w:val="004F0EAE"/>
    <w:rPr>
      <w:sz w:val="22"/>
      <w:szCs w:val="28"/>
      <w:lang w:val="en" w:bidi="bn-IN"/>
    </w:rPr>
  </w:style>
  <w:style w:type="character" w:styleId="Hyperlink">
    <w:name w:val="Hyperlink"/>
    <w:uiPriority w:val="99"/>
    <w:unhideWhenUsed/>
    <w:rsid w:val="004F0EAE"/>
    <w:rPr>
      <w:color w:val="0000FF"/>
      <w:u w:val="single"/>
    </w:rPr>
  </w:style>
  <w:style w:type="table" w:styleId="TableGrid">
    <w:name w:val="Table Grid"/>
    <w:basedOn w:val="TableNormal"/>
    <w:uiPriority w:val="39"/>
    <w:rsid w:val="004F0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qFormat/>
    <w:rsid w:val="004F0EAE"/>
    <w:pPr>
      <w:spacing w:before="120" w:after="120" w:line="276" w:lineRule="auto"/>
      <w:ind w:left="0"/>
    </w:pPr>
    <w:rPr>
      <w:rFonts w:ascii="Times New Roman" w:hAnsi="Times New Roman"/>
      <w:i/>
      <w:sz w:val="24"/>
      <w:szCs w:val="24"/>
    </w:rPr>
  </w:style>
  <w:style w:type="character" w:customStyle="1" w:styleId="Heading2Char">
    <w:name w:val="Heading 2 Char"/>
    <w:link w:val="Heading2"/>
    <w:uiPriority w:val="9"/>
    <w:semiHidden/>
    <w:rsid w:val="003313B9"/>
    <w:rPr>
      <w:rFonts w:ascii="Cambria" w:eastAsia="Times New Roman" w:hAnsi="Cambria" w:cs="Times New Roman"/>
      <w:b/>
      <w:bCs/>
      <w:i/>
      <w:iCs/>
      <w:sz w:val="28"/>
      <w:szCs w:val="28"/>
    </w:rPr>
  </w:style>
  <w:style w:type="character" w:styleId="UnresolvedMention">
    <w:name w:val="Unresolved Mention"/>
    <w:uiPriority w:val="99"/>
    <w:semiHidden/>
    <w:unhideWhenUsed/>
    <w:rsid w:val="007C45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13754">
      <w:bodyDiv w:val="1"/>
      <w:marLeft w:val="0"/>
      <w:marRight w:val="0"/>
      <w:marTop w:val="0"/>
      <w:marBottom w:val="0"/>
      <w:divBdr>
        <w:top w:val="none" w:sz="0" w:space="0" w:color="auto"/>
        <w:left w:val="none" w:sz="0" w:space="0" w:color="auto"/>
        <w:bottom w:val="none" w:sz="0" w:space="0" w:color="auto"/>
        <w:right w:val="none" w:sz="0" w:space="0" w:color="auto"/>
      </w:divBdr>
    </w:div>
    <w:div w:id="1068042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jurnal.ung.ac.id/index.php/eslaw/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122D5-27F2-4A14-A31E-285D3CBDC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17</Pages>
  <Words>5036</Words>
  <Characters>28706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33675</CharactersWithSpaces>
  <SharedDoc>false</SharedDoc>
  <HLinks>
    <vt:vector size="6" baseType="variant">
      <vt:variant>
        <vt:i4>7798893</vt:i4>
      </vt:variant>
      <vt:variant>
        <vt:i4>0</vt:i4>
      </vt:variant>
      <vt:variant>
        <vt:i4>0</vt:i4>
      </vt:variant>
      <vt:variant>
        <vt:i4>5</vt:i4>
      </vt:variant>
      <vt:variant>
        <vt:lpwstr>https://ejurnal.ung.ac.id/index.php/eslaw/index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Firah Magfirah</dc:creator>
  <cp:keywords/>
  <dc:description/>
  <cp:lastModifiedBy>Firah Magfirah</cp:lastModifiedBy>
  <cp:revision>11</cp:revision>
  <dcterms:created xsi:type="dcterms:W3CDTF">2022-08-10T05:24:00Z</dcterms:created>
  <dcterms:modified xsi:type="dcterms:W3CDTF">2022-08-24T19:08:00Z</dcterms:modified>
</cp:coreProperties>
</file>