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198" w:rsidRDefault="00645C12">
      <w:r>
        <w:rPr>
          <w:noProof/>
          <w:lang w:eastAsia="en-US" w:bidi="ar-SA"/>
        </w:rPr>
        <w:drawing>
          <wp:anchor distT="0" distB="0" distL="114935" distR="114935" simplePos="0" relativeHeight="2" behindDoc="1" locked="0" layoutInCell="0" allowOverlap="1" wp14:anchorId="1146F631" wp14:editId="6A5F7975">
            <wp:simplePos x="0" y="0"/>
            <wp:positionH relativeFrom="column">
              <wp:posOffset>-21590</wp:posOffset>
            </wp:positionH>
            <wp:positionV relativeFrom="paragraph">
              <wp:posOffset>-13970</wp:posOffset>
            </wp:positionV>
            <wp:extent cx="5443855" cy="635000"/>
            <wp:effectExtent l="0" t="0" r="444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7"/>
                    <a:srcRect l="-7" t="-57" r="-7" b="-57"/>
                    <a:stretch>
                      <a:fillRect/>
                    </a:stretch>
                  </pic:blipFill>
                  <pic:spPr bwMode="auto">
                    <a:xfrm>
                      <a:off x="0" y="0"/>
                      <a:ext cx="5443855" cy="635000"/>
                    </a:xfrm>
                    <a:prstGeom prst="rect">
                      <a:avLst/>
                    </a:prstGeom>
                  </pic:spPr>
                </pic:pic>
              </a:graphicData>
            </a:graphic>
          </wp:anchor>
        </w:drawing>
      </w:r>
    </w:p>
    <w:p w:rsidR="006E0198" w:rsidRDefault="006E0198">
      <w:pPr>
        <w:spacing w:after="0" w:line="240" w:lineRule="auto"/>
        <w:rPr>
          <w:rFonts w:ascii="Book Antiqua" w:hAnsi="Book Antiqua" w:cs="Book Antiqua"/>
          <w:sz w:val="24"/>
          <w:szCs w:val="24"/>
          <w:lang w:val="id-ID" w:eastAsia="en-US"/>
        </w:rPr>
      </w:pPr>
    </w:p>
    <w:p w:rsidR="006E0198" w:rsidRDefault="006E0198">
      <w:pPr>
        <w:spacing w:after="0" w:line="240" w:lineRule="auto"/>
        <w:rPr>
          <w:rFonts w:ascii="Book Antiqua" w:hAnsi="Book Antiqua" w:cs="Book Antiqua"/>
          <w:sz w:val="24"/>
          <w:szCs w:val="24"/>
          <w:lang w:val="id-ID" w:eastAsia="en-US"/>
        </w:rPr>
      </w:pPr>
    </w:p>
    <w:p w:rsidR="006E0198" w:rsidRDefault="007F6EAE">
      <w:pPr>
        <w:spacing w:after="0" w:line="240" w:lineRule="auto"/>
      </w:pPr>
      <w:r>
        <w:rPr>
          <w:rFonts w:ascii="Book Antiqua" w:hAnsi="Book Antiqua" w:cs="Book Antiqua"/>
          <w:sz w:val="20"/>
          <w:szCs w:val="20"/>
          <w:lang w:val="id-ID" w:eastAsia="en-US"/>
        </w:rPr>
        <w:t>Volume 1 Number 1, February-May 2019: Pp. 1-5</w:t>
      </w:r>
    </w:p>
    <w:p w:rsidR="006E0198" w:rsidRDefault="007F6EAE">
      <w:pPr>
        <w:spacing w:after="0" w:line="240" w:lineRule="auto"/>
        <w:rPr>
          <w:rFonts w:ascii="Book Antiqua" w:hAnsi="Book Antiqua" w:cs="Book Antiqua"/>
          <w:sz w:val="20"/>
          <w:szCs w:val="20"/>
          <w:lang w:val="id-ID" w:eastAsia="en-US" w:bidi="ar-SA"/>
        </w:rPr>
      </w:pPr>
      <w:r>
        <w:rPr>
          <w:noProof/>
          <w:lang w:eastAsia="en-US" w:bidi="ar-SA"/>
        </w:rPr>
        <w:drawing>
          <wp:anchor distT="0" distB="0" distL="114935" distR="114935" simplePos="0" relativeHeight="3" behindDoc="1" locked="0" layoutInCell="0" allowOverlap="1">
            <wp:simplePos x="0" y="0"/>
            <wp:positionH relativeFrom="column">
              <wp:posOffset>4253865</wp:posOffset>
            </wp:positionH>
            <wp:positionV relativeFrom="paragraph">
              <wp:posOffset>14605</wp:posOffset>
            </wp:positionV>
            <wp:extent cx="1168400" cy="472440"/>
            <wp:effectExtent l="0" t="0" r="0" b="0"/>
            <wp:wrapNone/>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pic:cNvPicPr>
                      <a:picLocks noChangeAspect="1" noChangeArrowheads="1"/>
                    </pic:cNvPicPr>
                  </pic:nvPicPr>
                  <pic:blipFill>
                    <a:blip r:embed="rId8"/>
                    <a:srcRect l="-28" t="-77" r="-28" b="-77"/>
                    <a:stretch>
                      <a:fillRect/>
                    </a:stretch>
                  </pic:blipFill>
                  <pic:spPr bwMode="auto">
                    <a:xfrm>
                      <a:off x="0" y="0"/>
                      <a:ext cx="1168400" cy="472440"/>
                    </a:xfrm>
                    <a:prstGeom prst="rect">
                      <a:avLst/>
                    </a:prstGeom>
                  </pic:spPr>
                </pic:pic>
              </a:graphicData>
            </a:graphic>
          </wp:anchor>
        </w:drawing>
      </w:r>
      <w:r>
        <w:rPr>
          <w:rFonts w:ascii="Book Antiqua" w:hAnsi="Book Antiqua" w:cs="Book Antiqua"/>
          <w:sz w:val="20"/>
          <w:szCs w:val="20"/>
          <w:lang w:val="id-ID" w:eastAsia="en-US" w:bidi="ar-SA"/>
        </w:rPr>
        <w:t>Faculty of Law, State University of Gorontalo, City of Gorontalo, Indonesia</w:t>
      </w:r>
      <w:bookmarkStart w:id="0" w:name="_GoBack"/>
      <w:bookmarkEnd w:id="0"/>
    </w:p>
    <w:p w:rsidR="006E0198" w:rsidRDefault="007F6EAE">
      <w:pPr>
        <w:spacing w:after="0" w:line="240" w:lineRule="auto"/>
        <w:rPr>
          <w:rFonts w:ascii="Book Antiqua" w:hAnsi="Book Antiqua" w:cs="Book Antiqua"/>
          <w:iCs/>
          <w:sz w:val="20"/>
          <w:szCs w:val="20"/>
          <w:lang w:val="id-ID" w:eastAsia="en-US" w:bidi="ar-SA"/>
        </w:rPr>
      </w:pPr>
      <w:r>
        <w:rPr>
          <w:rFonts w:ascii="Book Antiqua" w:eastAsia="Times New Roman" w:hAnsi="Book Antiqua" w:cs="Book Antiqua"/>
          <w:iCs/>
          <w:sz w:val="20"/>
          <w:szCs w:val="20"/>
          <w:lang w:val="id-ID" w:eastAsia="en-US"/>
        </w:rPr>
        <w:t>DOI:-</w:t>
      </w:r>
    </w:p>
    <w:p w:rsidR="006E0198" w:rsidRDefault="00EC2BB4">
      <w:pPr>
        <w:pBdr>
          <w:bottom w:val="thickThinMediumGap" w:sz="18" w:space="1" w:color="000000"/>
        </w:pBdr>
        <w:spacing w:after="0" w:line="240" w:lineRule="auto"/>
        <w:rPr>
          <w:rFonts w:ascii="Book Antiqua" w:hAnsi="Book Antiqua" w:cs="Book Antiqua"/>
          <w:sz w:val="20"/>
          <w:szCs w:val="20"/>
          <w:lang w:val="id-ID" w:eastAsia="en-US" w:bidi="ar-SA"/>
        </w:rPr>
      </w:pPr>
      <w:hyperlink r:id="rId9">
        <w:r w:rsidR="007F6EAE">
          <w:rPr>
            <w:rStyle w:val="Hyperlink"/>
            <w:rFonts w:ascii="Book Antiqua" w:hAnsi="Book Antiqua" w:cs="Book Antiqua"/>
            <w:color w:val="000000"/>
            <w:sz w:val="20"/>
            <w:szCs w:val="20"/>
            <w:lang w:val="id-ID" w:eastAsia="en-US" w:bidi="ar-SA"/>
          </w:rPr>
          <w:t>https://ejurnal.ung.ac.id/index.php/eslaw/index</w:t>
        </w:r>
      </w:hyperlink>
      <w:r w:rsidR="007F6EAE">
        <w:rPr>
          <w:rFonts w:ascii="Book Antiqua" w:hAnsi="Book Antiqua" w:cs="Book Antiqua"/>
          <w:sz w:val="20"/>
          <w:szCs w:val="20"/>
          <w:lang w:val="id-ID" w:eastAsia="en-US" w:bidi="ar-SA"/>
        </w:rPr>
        <w:t xml:space="preserve"> </w:t>
      </w:r>
    </w:p>
    <w:p w:rsidR="006E0198" w:rsidRDefault="006E0198">
      <w:pPr>
        <w:pBdr>
          <w:bottom w:val="thickThinMediumGap" w:sz="18" w:space="1" w:color="000000"/>
        </w:pBdr>
        <w:spacing w:after="0" w:line="240" w:lineRule="auto"/>
        <w:rPr>
          <w:rStyle w:val="Heading1Char"/>
          <w:rFonts w:ascii="Book Antiqua" w:eastAsia="Calibri" w:hAnsi="Book Antiqua" w:cs="Times New Roman"/>
          <w:sz w:val="24"/>
          <w:szCs w:val="24"/>
          <w:lang w:val="id-ID" w:eastAsia="en-US"/>
        </w:rPr>
      </w:pPr>
    </w:p>
    <w:p w:rsidR="006E0198" w:rsidRDefault="006E0198">
      <w:pPr>
        <w:pStyle w:val="Heading3"/>
        <w:spacing w:before="0" w:after="0" w:line="240" w:lineRule="auto"/>
        <w:jc w:val="center"/>
        <w:rPr>
          <w:rStyle w:val="Heading1Char"/>
          <w:rFonts w:ascii="Book Antiqua" w:hAnsi="Book Antiqua" w:cs="Calibri Light"/>
          <w:b/>
          <w:sz w:val="24"/>
          <w:lang w:val="id-ID" w:eastAsia="en-US"/>
        </w:rPr>
      </w:pPr>
    </w:p>
    <w:p w:rsidR="00040640" w:rsidRPr="00040640" w:rsidRDefault="007F6EAE" w:rsidP="00040640">
      <w:pPr>
        <w:pStyle w:val="Heading3"/>
        <w:spacing w:before="0" w:after="200" w:line="240" w:lineRule="auto"/>
        <w:jc w:val="center"/>
        <w:rPr>
          <w:rFonts w:ascii="Book Antiqua" w:hAnsi="Book Antiqua" w:cs="Book Antiqua"/>
          <w:b/>
          <w:bCs/>
          <w:sz w:val="36"/>
          <w:szCs w:val="36"/>
        </w:rPr>
      </w:pPr>
      <w:r>
        <w:rPr>
          <w:rFonts w:ascii="Book Antiqua" w:hAnsi="Book Antiqua" w:cs="Book Antiqua"/>
          <w:b/>
          <w:bCs/>
          <w:sz w:val="36"/>
          <w:szCs w:val="36"/>
        </w:rPr>
        <w:t>FULFILLMENT OF ASSIMILATION RIGHTS AND INTEGRATION RIGHTS TO CORPORATE STUDENTS</w:t>
      </w:r>
    </w:p>
    <w:p w:rsidR="006E0198" w:rsidRPr="00040640" w:rsidRDefault="00040640" w:rsidP="00040640">
      <w:pPr>
        <w:pStyle w:val="Author"/>
        <w:spacing w:before="0" w:after="0" w:line="240" w:lineRule="auto"/>
        <w:jc w:val="center"/>
        <w:rPr>
          <w:rFonts w:ascii="Book Antiqua" w:hAnsi="Book Antiqua"/>
          <w:b/>
          <w:noProof/>
          <w:lang w:val="id-ID"/>
        </w:rPr>
      </w:pPr>
      <w:r w:rsidRPr="00434F92">
        <w:rPr>
          <w:rFonts w:ascii="Book Antiqua" w:hAnsi="Book Antiqua"/>
          <w:b/>
          <w:noProof/>
        </w:rPr>
        <w:t>Susan Bau</w:t>
      </w:r>
      <w:r w:rsidRPr="008F31C9">
        <w:rPr>
          <w:rFonts w:ascii="Book Antiqua" w:hAnsi="Book Antiqua"/>
          <w:b/>
          <w:noProof/>
          <w:vertAlign w:val="superscript"/>
          <w:lang w:val="id-ID"/>
        </w:rPr>
        <w:t xml:space="preserve"> 1</w:t>
      </w:r>
      <w:r w:rsidRPr="008F31C9">
        <w:rPr>
          <w:rFonts w:ascii="Book Antiqua" w:hAnsi="Book Antiqua"/>
          <w:b/>
          <w:noProof/>
          <w:lang w:val="id-ID"/>
        </w:rPr>
        <w:t xml:space="preserve">, </w:t>
      </w:r>
      <w:r w:rsidRPr="00434F92">
        <w:rPr>
          <w:rFonts w:ascii="Book Antiqua" w:eastAsia="Times New Roman Bold" w:hAnsi="Book Antiqua"/>
          <w:b/>
          <w:noProof/>
          <w:u w:color="000000"/>
          <w:bdr w:val="nil"/>
          <w:lang w:val="id-ID" w:eastAsia="fi-FI"/>
        </w:rPr>
        <w:t xml:space="preserve">Fence M. Wantu </w:t>
      </w:r>
      <w:r w:rsidRPr="008F31C9">
        <w:rPr>
          <w:rFonts w:ascii="Book Antiqua" w:eastAsia="Times New Roman Bold" w:hAnsi="Book Antiqua"/>
          <w:b/>
          <w:noProof/>
          <w:u w:color="000000"/>
          <w:bdr w:val="nil"/>
          <w:vertAlign w:val="superscript"/>
          <w:lang w:val="id-ID" w:eastAsia="fi-FI"/>
        </w:rPr>
        <w:t>2</w:t>
      </w:r>
      <w:r w:rsidRPr="008F31C9">
        <w:rPr>
          <w:rFonts w:ascii="Book Antiqua" w:eastAsia="Times New Roman Bold" w:hAnsi="Book Antiqua"/>
          <w:b/>
          <w:noProof/>
          <w:u w:color="000000"/>
          <w:bdr w:val="nil"/>
          <w:lang w:val="id-ID" w:eastAsia="fi-FI"/>
        </w:rPr>
        <w:t xml:space="preserve">, </w:t>
      </w:r>
      <w:r w:rsidRPr="00401D55">
        <w:rPr>
          <w:rFonts w:ascii="Book Antiqua" w:hAnsi="Book Antiqua"/>
          <w:b/>
          <w:noProof/>
          <w:lang w:val="id-ID"/>
        </w:rPr>
        <w:t xml:space="preserve">Mohamad Taufiq Zulfikar Sarson </w:t>
      </w:r>
      <w:r w:rsidRPr="008F31C9">
        <w:rPr>
          <w:rFonts w:ascii="Book Antiqua" w:hAnsi="Book Antiqua"/>
          <w:b/>
          <w:noProof/>
          <w:vertAlign w:val="superscript"/>
          <w:lang w:val="id-ID" w:eastAsia="fi-FI"/>
        </w:rPr>
        <w:t>3</w:t>
      </w:r>
    </w:p>
    <w:p w:rsidR="006E0198" w:rsidRDefault="007F6EAE">
      <w:pPr>
        <w:spacing w:after="0" w:line="240" w:lineRule="auto"/>
        <w:jc w:val="center"/>
        <w:rPr>
          <w:rStyle w:val="Hyperlink"/>
          <w:rFonts w:ascii="Book Antiqua" w:eastAsia="Times New Roman Bold;Times New" w:hAnsi="Book Antiqua" w:cs="Calibri Light"/>
          <w:i/>
          <w:iCs/>
          <w:color w:val="000000"/>
          <w:sz w:val="16"/>
          <w:szCs w:val="16"/>
          <w:u w:val="none"/>
          <w:lang w:val="id-ID" w:eastAsia="en-US"/>
        </w:rPr>
      </w:pPr>
      <w:r>
        <w:rPr>
          <w:rStyle w:val="Hyperlink"/>
          <w:rFonts w:ascii="Book Antiqua" w:eastAsia="Times New Roman Bold;Times New" w:hAnsi="Book Antiqua" w:cs="Calibri Light"/>
          <w:i/>
          <w:iCs/>
          <w:color w:val="000000"/>
          <w:sz w:val="16"/>
          <w:szCs w:val="16"/>
          <w:u w:val="none"/>
          <w:vertAlign w:val="superscript"/>
          <w:lang w:val="id-ID" w:eastAsia="en-US"/>
        </w:rPr>
        <w:t>1</w:t>
      </w:r>
      <w:r>
        <w:rPr>
          <w:rStyle w:val="Hyperlink"/>
          <w:rFonts w:ascii="Book Antiqua" w:eastAsia="Times New Roman Bold;Times New" w:hAnsi="Book Antiqua" w:cs="Calibri Light"/>
          <w:i/>
          <w:iCs/>
          <w:color w:val="000000"/>
          <w:sz w:val="16"/>
          <w:szCs w:val="16"/>
          <w:u w:val="none"/>
          <w:lang w:val="id-ID" w:eastAsia="en-US"/>
        </w:rPr>
        <w:t>Faculty of Law, State University of Gorontalo, Indonesia. E-mail:</w:t>
      </w:r>
      <w:r w:rsidR="00040640">
        <w:rPr>
          <w:rStyle w:val="Hyperlink"/>
          <w:rFonts w:ascii="Book Antiqua" w:eastAsia="Times New Roman Bold;Times New" w:hAnsi="Book Antiqua" w:cs="Calibri Light"/>
          <w:i/>
          <w:iCs/>
          <w:color w:val="000000"/>
          <w:sz w:val="16"/>
          <w:szCs w:val="16"/>
          <w:u w:val="none"/>
          <w:lang w:val="en-ID" w:eastAsia="en-US"/>
        </w:rPr>
        <w:t xml:space="preserve"> </w:t>
      </w:r>
      <w:hyperlink r:id="rId10">
        <w:r>
          <w:rPr>
            <w:rStyle w:val="Hyperlink"/>
            <w:rFonts w:ascii="Book Antiqua" w:hAnsi="Book Antiqua" w:cs="Book Antiqua"/>
            <w:i/>
            <w:sz w:val="16"/>
            <w:szCs w:val="16"/>
            <w:lang w:val="id-ID" w:eastAsia="en-US"/>
          </w:rPr>
          <w:t>susanbau136@gmail.com</w:t>
        </w:r>
      </w:hyperlink>
      <w:r>
        <w:rPr>
          <w:rFonts w:ascii="Book Antiqua" w:hAnsi="Book Antiqua" w:cs="Book Antiqua"/>
          <w:i/>
          <w:sz w:val="16"/>
          <w:szCs w:val="16"/>
          <w:lang w:val="id-ID" w:eastAsia="en-US"/>
        </w:rPr>
        <w:t xml:space="preserve"> </w:t>
      </w:r>
    </w:p>
    <w:p w:rsidR="006E0198" w:rsidRDefault="007F6EAE">
      <w:pPr>
        <w:spacing w:after="0" w:line="240" w:lineRule="auto"/>
        <w:jc w:val="center"/>
        <w:rPr>
          <w:rStyle w:val="Hyperlink"/>
          <w:rFonts w:ascii="Book Antiqua" w:eastAsia="Times New Roman Bold;Times New" w:hAnsi="Book Antiqua" w:cs="Calibri Light"/>
          <w:i/>
          <w:iCs/>
          <w:color w:val="000000"/>
          <w:sz w:val="16"/>
          <w:szCs w:val="16"/>
          <w:u w:val="none"/>
          <w:lang w:val="id-ID" w:eastAsia="en-US"/>
        </w:rPr>
      </w:pPr>
      <w:r>
        <w:rPr>
          <w:rStyle w:val="Hyperlink"/>
          <w:rFonts w:ascii="Book Antiqua" w:eastAsia="Times New Roman Bold;Times New" w:hAnsi="Book Antiqua" w:cs="Calibri Light"/>
          <w:i/>
          <w:iCs/>
          <w:color w:val="000000"/>
          <w:sz w:val="16"/>
          <w:szCs w:val="16"/>
          <w:u w:val="none"/>
          <w:vertAlign w:val="superscript"/>
          <w:lang w:val="id-ID" w:eastAsia="en-US"/>
        </w:rPr>
        <w:t>2</w:t>
      </w:r>
      <w:r>
        <w:rPr>
          <w:rStyle w:val="Hyperlink"/>
          <w:rFonts w:ascii="Book Antiqua" w:eastAsia="Times New Roman Bold;Times New" w:hAnsi="Book Antiqua" w:cs="Calibri Light"/>
          <w:i/>
          <w:iCs/>
          <w:color w:val="000000"/>
          <w:sz w:val="16"/>
          <w:szCs w:val="16"/>
          <w:u w:val="none"/>
          <w:lang w:val="id-ID" w:eastAsia="en-US"/>
        </w:rPr>
        <w:t>Faculty of Law, State University of Gorontalo, Indonesia. E-mail:</w:t>
      </w:r>
      <w:r w:rsidR="00040640">
        <w:rPr>
          <w:rStyle w:val="Hyperlink"/>
          <w:rFonts w:ascii="Book Antiqua" w:eastAsia="Times New Roman Bold;Times New" w:hAnsi="Book Antiqua" w:cs="Calibri Light"/>
          <w:i/>
          <w:iCs/>
          <w:color w:val="000000"/>
          <w:sz w:val="16"/>
          <w:szCs w:val="16"/>
          <w:u w:val="none"/>
          <w:lang w:val="en-ID" w:eastAsia="en-US"/>
        </w:rPr>
        <w:t xml:space="preserve"> </w:t>
      </w:r>
      <w:hyperlink r:id="rId11">
        <w:r>
          <w:rPr>
            <w:rStyle w:val="Hyperlink"/>
            <w:rFonts w:ascii="Book Antiqua" w:hAnsi="Book Antiqua" w:cs="Book Antiqua"/>
            <w:i/>
            <w:sz w:val="16"/>
            <w:szCs w:val="16"/>
            <w:lang w:val="id-ID" w:eastAsia="en-US"/>
          </w:rPr>
          <w:t>fence_wantu@gmail.com</w:t>
        </w:r>
      </w:hyperlink>
      <w:r>
        <w:rPr>
          <w:rFonts w:ascii="Book Antiqua" w:hAnsi="Book Antiqua" w:cs="Book Antiqua"/>
          <w:i/>
          <w:sz w:val="16"/>
          <w:szCs w:val="16"/>
          <w:lang w:val="id-ID" w:eastAsia="en-US"/>
        </w:rPr>
        <w:t xml:space="preserve"> </w:t>
      </w:r>
    </w:p>
    <w:p w:rsidR="006E0198" w:rsidRDefault="007F6EAE">
      <w:pPr>
        <w:pBdr>
          <w:bottom w:val="thickThinMediumGap" w:sz="18" w:space="1" w:color="000000"/>
        </w:pBdr>
        <w:spacing w:after="0" w:line="240" w:lineRule="auto"/>
        <w:jc w:val="center"/>
        <w:rPr>
          <w:rStyle w:val="fontstyle01"/>
          <w:rFonts w:ascii="Book Antiqua" w:hAnsi="Book Antiqua" w:cs="Book Antiqua"/>
          <w:i/>
          <w:sz w:val="16"/>
          <w:szCs w:val="16"/>
          <w:lang w:val="id-ID" w:eastAsia="en-US"/>
        </w:rPr>
      </w:pPr>
      <w:r>
        <w:rPr>
          <w:rStyle w:val="Hyperlink"/>
          <w:rFonts w:ascii="Book Antiqua" w:eastAsia="Times New Roman Bold;Times New" w:hAnsi="Book Antiqua" w:cs="Calibri Light"/>
          <w:i/>
          <w:iCs/>
          <w:color w:val="000000"/>
          <w:sz w:val="16"/>
          <w:szCs w:val="16"/>
          <w:u w:val="none"/>
          <w:vertAlign w:val="superscript"/>
          <w:lang w:val="id-ID" w:eastAsia="en-US"/>
        </w:rPr>
        <w:t>3</w:t>
      </w:r>
      <w:r>
        <w:rPr>
          <w:rStyle w:val="Hyperlink"/>
          <w:rFonts w:ascii="Book Antiqua" w:eastAsia="Times New Roman Bold;Times New" w:hAnsi="Book Antiqua" w:cs="Calibri Light"/>
          <w:i/>
          <w:iCs/>
          <w:color w:val="000000"/>
          <w:sz w:val="16"/>
          <w:szCs w:val="16"/>
          <w:u w:val="none"/>
          <w:lang w:val="id-ID" w:eastAsia="en-US"/>
        </w:rPr>
        <w:t>Faculty of Law, State University of Gorontalo, Indonesia. E-mail:</w:t>
      </w:r>
      <w:r w:rsidR="00040640">
        <w:rPr>
          <w:rStyle w:val="Hyperlink"/>
          <w:rFonts w:ascii="Book Antiqua" w:eastAsia="Times New Roman Bold;Times New" w:hAnsi="Book Antiqua" w:cs="Calibri Light"/>
          <w:i/>
          <w:iCs/>
          <w:color w:val="000000"/>
          <w:sz w:val="16"/>
          <w:szCs w:val="16"/>
          <w:u w:val="none"/>
          <w:lang w:val="en-ID" w:eastAsia="en-US"/>
        </w:rPr>
        <w:t xml:space="preserve"> </w:t>
      </w:r>
      <w:hyperlink r:id="rId12">
        <w:r>
          <w:rPr>
            <w:rStyle w:val="Hyperlink"/>
            <w:rFonts w:ascii="Book Antiqua" w:hAnsi="Book Antiqua" w:cs="Book Antiqua"/>
            <w:i/>
            <w:sz w:val="16"/>
            <w:szCs w:val="16"/>
            <w:lang w:val="id-ID" w:eastAsia="en-US"/>
          </w:rPr>
          <w:t>mtaufiqzulfikars@gmail.com</w:t>
        </w:r>
      </w:hyperlink>
      <w:r>
        <w:rPr>
          <w:rStyle w:val="fontstyle01"/>
          <w:rFonts w:ascii="Book Antiqua" w:hAnsi="Book Antiqua" w:cs="Book Antiqua"/>
          <w:i/>
          <w:sz w:val="16"/>
          <w:szCs w:val="16"/>
          <w:lang w:val="id-ID" w:eastAsia="en-US"/>
        </w:rPr>
        <w:t xml:space="preserve"> </w:t>
      </w:r>
    </w:p>
    <w:p w:rsidR="006E0198" w:rsidRDefault="007F6EAE">
      <w:pPr>
        <w:pBdr>
          <w:bottom w:val="thickThinMediumGap" w:sz="18" w:space="1" w:color="000000"/>
        </w:pBdr>
        <w:spacing w:after="0" w:line="240" w:lineRule="auto"/>
        <w:jc w:val="center"/>
        <w:rPr>
          <w:rStyle w:val="fontstyle01"/>
          <w:rFonts w:ascii="Book Antiqua" w:hAnsi="Book Antiqua" w:cs="Book Antiqua"/>
          <w:i/>
          <w:sz w:val="2"/>
          <w:szCs w:val="2"/>
          <w:lang w:val="id-ID" w:eastAsia="en-US"/>
        </w:rPr>
      </w:pPr>
      <w:r>
        <w:rPr>
          <w:rStyle w:val="fontstyle01"/>
          <w:rFonts w:ascii="Book Antiqua" w:eastAsia="Book Antiqua" w:hAnsi="Book Antiqua" w:cs="Book Antiqua"/>
          <w:i/>
          <w:sz w:val="2"/>
          <w:szCs w:val="2"/>
          <w:lang w:val="id-ID" w:eastAsia="en-US"/>
        </w:rPr>
        <w:t xml:space="preserve"> </w:t>
      </w:r>
    </w:p>
    <w:p w:rsidR="006E0198" w:rsidRDefault="006E0198">
      <w:pPr>
        <w:spacing w:after="0" w:line="240" w:lineRule="auto"/>
        <w:jc w:val="center"/>
        <w:rPr>
          <w:rStyle w:val="fontstyle01"/>
          <w:rFonts w:ascii="Book Antiqua" w:eastAsia="Times New Roman Bold;Times New" w:hAnsi="Book Antiqua" w:cs="Calibri Light"/>
          <w:i/>
          <w:iCs/>
          <w:sz w:val="16"/>
          <w:szCs w:val="16"/>
          <w:lang w:val="id-ID" w:eastAsia="en-US"/>
        </w:rPr>
      </w:pPr>
    </w:p>
    <w:p w:rsidR="006E0198" w:rsidRDefault="007F6EAE">
      <w:pPr>
        <w:pStyle w:val="Default"/>
        <w:jc w:val="both"/>
        <w:rPr>
          <w:rFonts w:eastAsia="Times New Roman"/>
          <w:lang w:val="id-ID" w:eastAsia="ko-KR"/>
        </w:rPr>
      </w:pPr>
      <w:r>
        <w:rPr>
          <w:b/>
          <w:lang w:val="id-ID" w:eastAsia="en-US"/>
        </w:rPr>
        <w:t>Abstract:</w:t>
      </w:r>
      <w:r>
        <w:rPr>
          <w:rFonts w:eastAsia="Times New Roman"/>
          <w:lang w:val="id-ID" w:eastAsia="en-US"/>
        </w:rPr>
        <w:t>This study aims to determine the fulfillment of assimilation rights and integration rights to correctional students. The type of research method used in this study is empirical research with sampling using purposive sampling. This study also uses a qualitative approach and descriptive analysis techniques. The results of this study indicate that</w:t>
      </w:r>
      <w:r>
        <w:rPr>
          <w:rFonts w:eastAsia="Times New Roman"/>
          <w:lang w:val="id-ID" w:eastAsia="ko-KR"/>
        </w:rPr>
        <w:t>In the implementation of the fulfillment of the right of assimilation and the right of integration to correctional students, there are several obstacles, as for these obstacles, namely there is no guarantor of the correctional students, has register f records, Community Environment, excess capacity, minimal quality of officers and less bureaucratic processes. effective. The government carries out alternative non-prison punishments that can be carried out such as supervision and community service which is seen as more efficient than prison law because in achieving the goal of fostering or rehabilitating correctional students before finally being able to be free and return to life in the community and for the community.</w:t>
      </w:r>
      <w:r>
        <w:rPr>
          <w:lang w:val="id-ID"/>
        </w:rPr>
        <w:t>The community is expected to participate actively in the implementation of community programs, so that correctional students feel they can be accepted again in the community.</w:t>
      </w:r>
    </w:p>
    <w:p w:rsidR="006E0198" w:rsidRDefault="007F6EAE">
      <w:pPr>
        <w:spacing w:after="0" w:line="240" w:lineRule="auto"/>
        <w:jc w:val="both"/>
        <w:rPr>
          <w:rStyle w:val="Hyperlink"/>
          <w:rFonts w:ascii="Times New Roman" w:eastAsia="Times New Roman" w:hAnsi="Times New Roman"/>
          <w:color w:val="000000"/>
          <w:sz w:val="24"/>
          <w:szCs w:val="24"/>
          <w:u w:val="none"/>
          <w:lang w:val="id-ID" w:eastAsia="en-US"/>
        </w:rPr>
      </w:pPr>
      <w:r>
        <w:rPr>
          <w:rFonts w:ascii="Times New Roman" w:eastAsia="Times New Roman" w:hAnsi="Times New Roman"/>
          <w:b/>
          <w:sz w:val="24"/>
          <w:szCs w:val="24"/>
          <w:lang w:val="id-ID" w:eastAsia="en-US"/>
        </w:rPr>
        <w:t>Keywords</w:t>
      </w:r>
      <w:r>
        <w:rPr>
          <w:rFonts w:ascii="Times New Roman" w:eastAsia="Times New Roman" w:hAnsi="Times New Roman"/>
          <w:sz w:val="24"/>
          <w:szCs w:val="24"/>
          <w:lang w:val="id-ID" w:eastAsia="en-US"/>
        </w:rPr>
        <w:t>: Obstacle; Fulfillment; Right; Assimilation; Integration</w:t>
      </w:r>
    </w:p>
    <w:p w:rsidR="006E0198" w:rsidRDefault="006E0198">
      <w:pPr>
        <w:pBdr>
          <w:bottom w:val="thickThinMediumGap" w:sz="18" w:space="1" w:color="000000"/>
        </w:pBdr>
        <w:spacing w:after="0" w:line="240" w:lineRule="auto"/>
        <w:rPr>
          <w:rStyle w:val="Hyperlink"/>
          <w:rFonts w:ascii="Times New Roman" w:eastAsia="Times New Roman" w:hAnsi="Times New Roman"/>
          <w:i/>
          <w:color w:val="000000"/>
          <w:sz w:val="24"/>
          <w:szCs w:val="24"/>
          <w:u w:val="none"/>
          <w:lang w:val="id-ID" w:eastAsia="en-US"/>
        </w:rPr>
      </w:pPr>
    </w:p>
    <w:p w:rsidR="006E0198" w:rsidRDefault="006E0198">
      <w:pPr>
        <w:spacing w:after="0" w:line="240" w:lineRule="auto"/>
        <w:rPr>
          <w:rFonts w:ascii="Book Antiqua" w:hAnsi="Book Antiqua" w:cs="Book Antiqua"/>
          <w:i/>
          <w:sz w:val="24"/>
          <w:szCs w:val="24"/>
          <w:lang w:val="id-ID" w:eastAsia="en-US"/>
        </w:rPr>
      </w:pPr>
    </w:p>
    <w:p w:rsidR="006E0198" w:rsidRDefault="007F6EAE">
      <w:pPr>
        <w:spacing w:after="0" w:line="240" w:lineRule="auto"/>
        <w:rPr>
          <w:rFonts w:ascii="Book Antiqua" w:hAnsi="Book Antiqua" w:cs="Arial"/>
          <w:i/>
          <w:sz w:val="24"/>
          <w:szCs w:val="24"/>
          <w:lang w:val="id-ID" w:eastAsia="en-US"/>
        </w:rPr>
      </w:pPr>
      <w:r>
        <w:rPr>
          <w:rFonts w:ascii="Book Antiqua" w:hAnsi="Book Antiqua" w:cs="Arial"/>
          <w:i/>
          <w:sz w:val="24"/>
          <w:szCs w:val="24"/>
          <w:lang w:val="id-ID" w:eastAsia="en-US"/>
        </w:rPr>
        <w:t>© 2022 ESLAW. Faculty of Law, State University of Gorontalo</w:t>
      </w:r>
      <w:r>
        <w:br w:type="page"/>
      </w:r>
    </w:p>
    <w:p w:rsidR="006E0198" w:rsidRDefault="007F6EAE">
      <w:pPr>
        <w:pStyle w:val="ListParagraph"/>
        <w:numPr>
          <w:ilvl w:val="0"/>
          <w:numId w:val="7"/>
        </w:numPr>
        <w:spacing w:line="240" w:lineRule="auto"/>
        <w:rPr>
          <w:rFonts w:ascii="Book Antiqua" w:eastAsia="Arial Unicode MS" w:hAnsi="Book Antiqua" w:cs="Calibri Light"/>
          <w:b/>
          <w:sz w:val="28"/>
          <w:lang w:val="id-ID" w:eastAsia="en-US"/>
        </w:rPr>
      </w:pPr>
      <w:r>
        <w:rPr>
          <w:rFonts w:ascii="Book Antiqua" w:eastAsia="Arial Unicode MS" w:hAnsi="Book Antiqua" w:cs="Calibri Light"/>
          <w:b/>
          <w:sz w:val="28"/>
          <w:lang w:val="id-ID" w:eastAsia="en-US"/>
        </w:rPr>
        <w:lastRenderedPageBreak/>
        <w:t>Introduction</w:t>
      </w:r>
    </w:p>
    <w:p w:rsidR="006E0198" w:rsidRDefault="007F6EAE">
      <w:pPr>
        <w:spacing w:line="240" w:lineRule="auto"/>
        <w:jc w:val="both"/>
        <w:rPr>
          <w:rFonts w:ascii="Book Antiqua" w:hAnsi="Book Antiqua" w:cs="Book Antiqua"/>
          <w:sz w:val="24"/>
          <w:szCs w:val="24"/>
          <w:lang w:val="id-ID" w:eastAsia="en-US"/>
        </w:rPr>
      </w:pPr>
      <w:r>
        <w:rPr>
          <w:rFonts w:ascii="Book Antiqua" w:hAnsi="Book Antiqua" w:cs="Book Antiqua"/>
          <w:sz w:val="24"/>
          <w:szCs w:val="24"/>
          <w:lang w:val="id-ID" w:eastAsia="en-US"/>
        </w:rPr>
        <w:t>Indonesia is a country that adheres to the legal tradition of Continental Europe or often referred to as civil law. The civil law tradition is characterized by a written legal system which is the main requirement in the administration of the state.</w:t>
      </w:r>
      <w:r>
        <w:rPr>
          <w:rStyle w:val="FootnoteAnchor"/>
          <w:rFonts w:ascii="Book Antiqua" w:hAnsi="Book Antiqua" w:cs="Book Antiqua"/>
          <w:sz w:val="24"/>
          <w:szCs w:val="24"/>
          <w:lang w:val="id-ID" w:eastAsia="en-US"/>
        </w:rPr>
        <w:footnoteReference w:id="1"/>
      </w:r>
      <w:r>
        <w:rPr>
          <w:rFonts w:ascii="Book Antiqua" w:hAnsi="Book Antiqua" w:cs="Book Antiqua"/>
          <w:sz w:val="24"/>
          <w:szCs w:val="24"/>
          <w:lang w:val="id-ID" w:eastAsia="en-US"/>
        </w:rPr>
        <w:t>Indonesia in the constitution is a legal state whose manifestation is reflected in the laws and regulations made to limit the power of the state (government) and provide guidelines for the people in carrying out their activities as citizens.</w:t>
      </w:r>
      <w:r>
        <w:rPr>
          <w:rStyle w:val="FootnoteAnchor"/>
          <w:rFonts w:ascii="Book Antiqua" w:hAnsi="Book Antiqua" w:cs="Book Antiqua"/>
          <w:sz w:val="24"/>
          <w:szCs w:val="24"/>
          <w:lang w:val="id-ID" w:eastAsia="en-US"/>
        </w:rPr>
        <w:footnoteReference w:id="2"/>
      </w:r>
      <w:r>
        <w:rPr>
          <w:rFonts w:ascii="Book Antiqua" w:hAnsi="Book Antiqua" w:cs="Book Antiqua"/>
          <w:sz w:val="24"/>
          <w:szCs w:val="24"/>
          <w:lang w:val="id-ID" w:eastAsia="en-US"/>
        </w:rPr>
        <w:t>Because the essence of the constitution is a conception of the state which is the basis and limitation of the constellation of the state administration system.</w:t>
      </w:r>
      <w:r>
        <w:rPr>
          <w:rStyle w:val="FootnoteAnchor"/>
          <w:rFonts w:ascii="Book Antiqua" w:hAnsi="Book Antiqua" w:cs="Book Antiqua"/>
          <w:sz w:val="24"/>
          <w:szCs w:val="24"/>
          <w:lang w:val="id-ID" w:eastAsia="en-US"/>
        </w:rPr>
        <w:footnoteReference w:id="3"/>
      </w:r>
      <w:r>
        <w:rPr>
          <w:rFonts w:ascii="Book Antiqua" w:hAnsi="Book Antiqua" w:cs="Book Antiqua"/>
          <w:sz w:val="24"/>
          <w:szCs w:val="24"/>
          <w:lang w:val="id-ID" w:eastAsia="en-US"/>
        </w:rPr>
        <w:t>Indonesia itself when viewed from the journey of Pancasila which has its own history in the life of the nation and state, which until now has not shown the harmony of life of each component of the state, requires Indonesian citizens to rethink the best way for the life of the nation and state in the corridor of Pancasila.</w:t>
      </w:r>
      <w:r>
        <w:rPr>
          <w:rStyle w:val="FootnoteAnchor"/>
          <w:rFonts w:ascii="Book Antiqua" w:hAnsi="Book Antiqua" w:cs="Book Antiqua"/>
          <w:sz w:val="24"/>
          <w:szCs w:val="24"/>
          <w:lang w:val="id-ID" w:eastAsia="en-US"/>
        </w:rPr>
        <w:footnoteReference w:id="4"/>
      </w:r>
    </w:p>
    <w:p w:rsidR="006E0198" w:rsidRDefault="007F6EAE">
      <w:pPr>
        <w:spacing w:line="240" w:lineRule="auto"/>
        <w:jc w:val="both"/>
        <w:rPr>
          <w:rFonts w:ascii="Book Antiqua" w:hAnsi="Book Antiqua" w:cs="Book Antiqua"/>
          <w:sz w:val="24"/>
          <w:szCs w:val="24"/>
        </w:rPr>
      </w:pPr>
      <w:r>
        <w:rPr>
          <w:rFonts w:ascii="Book Antiqua" w:hAnsi="Book Antiqua" w:cs="Book Antiqua"/>
          <w:sz w:val="24"/>
          <w:szCs w:val="24"/>
          <w:lang w:val="id-ID" w:eastAsia="en-US"/>
        </w:rPr>
        <w:t>One of the causes of crime is the development of increasingly advanced technology, so that all circles follow the development of the era itself.</w:t>
      </w:r>
      <w:r>
        <w:rPr>
          <w:rFonts w:ascii="Book Antiqua" w:eastAsia="Times New Roman" w:hAnsi="Book Antiqua" w:cs="Book Antiqua"/>
          <w:sz w:val="24"/>
          <w:szCs w:val="24"/>
          <w:lang w:val="id-ID" w:eastAsia="en-US"/>
        </w:rPr>
        <w:t>The development of digitalization of information and communication technology in the form of social media exposes the public to a new reality, namely the mortal world that is visible from the screen of the device/gadget but synchronized with real world life.</w:t>
      </w:r>
      <w:r>
        <w:rPr>
          <w:rStyle w:val="FootnoteAnchor"/>
          <w:rFonts w:ascii="Book Antiqua" w:eastAsia="Times New Roman" w:hAnsi="Book Antiqua" w:cs="Book Antiqua"/>
          <w:sz w:val="24"/>
          <w:szCs w:val="24"/>
          <w:lang w:eastAsia="en-US"/>
        </w:rPr>
        <w:footnoteReference w:id="5"/>
      </w:r>
    </w:p>
    <w:p w:rsidR="006E0198" w:rsidRDefault="007F6EAE">
      <w:pPr>
        <w:spacing w:line="240" w:lineRule="auto"/>
        <w:jc w:val="both"/>
        <w:rPr>
          <w:rFonts w:ascii="Book Antiqua" w:hAnsi="Book Antiqua" w:cs="Book Antiqua"/>
          <w:sz w:val="24"/>
          <w:szCs w:val="24"/>
        </w:rPr>
      </w:pPr>
      <w:r>
        <w:rPr>
          <w:rFonts w:ascii="Book Antiqua" w:hAnsi="Book Antiqua" w:cs="Book Antiqua"/>
          <w:sz w:val="24"/>
          <w:szCs w:val="24"/>
          <w:lang w:val="id-ID"/>
        </w:rPr>
        <w:t xml:space="preserve">Crimes that occur in Indonesia today are very diverse, the perpetrators of crimes that so far we know are only dominated by adults, have now spread to children as perpetrators of crime. With the high level of crimes committed by children who are faced with the law, proper handling is also needed in juvenile criminal justice so that the juvenile criminal justice process does not violate the rights inherent in children and does not have a negative impact on the process of growth and development of children in the future. come. Therefore, crime is </w:t>
      </w:r>
      <w:r>
        <w:rPr>
          <w:rFonts w:ascii="Book Antiqua" w:hAnsi="Book Antiqua" w:cs="Book Antiqua"/>
          <w:sz w:val="24"/>
          <w:szCs w:val="24"/>
          <w:lang w:val="id-ID"/>
        </w:rPr>
        <w:lastRenderedPageBreak/>
        <w:t>categorized as a major problem in people's lives.</w:t>
      </w:r>
      <w:r>
        <w:rPr>
          <w:rStyle w:val="FootnoteAnchor"/>
          <w:rFonts w:ascii="Book Antiqua" w:hAnsi="Book Antiqua" w:cs="Book Antiqua"/>
          <w:sz w:val="24"/>
          <w:szCs w:val="24"/>
        </w:rPr>
        <w:footnoteReference w:id="6"/>
      </w:r>
      <w:r>
        <w:rPr>
          <w:rFonts w:ascii="Book Antiqua" w:hAnsi="Book Antiqua" w:cs="Book Antiqua"/>
          <w:sz w:val="24"/>
          <w:szCs w:val="24"/>
          <w:lang w:val="id-ID"/>
        </w:rPr>
        <w:t xml:space="preserve"> </w:t>
      </w:r>
      <w:r>
        <w:rPr>
          <w:rFonts w:ascii="Book Antiqua" w:eastAsia="Times New Roman" w:hAnsi="Book Antiqua" w:cs="Book Antiqua"/>
          <w:sz w:val="24"/>
          <w:szCs w:val="24"/>
          <w:lang w:eastAsia="en-US"/>
        </w:rPr>
        <w:t>From those cases the culprit should be</w:t>
      </w:r>
      <w:r>
        <w:rPr>
          <w:rFonts w:ascii="Book Antiqua" w:hAnsi="Book Antiqua" w:cs="Book Antiqua"/>
          <w:sz w:val="24"/>
          <w:szCs w:val="24"/>
          <w:lang w:val="id-ID" w:eastAsia="en-US"/>
        </w:rPr>
        <w:t>sentenced</w:t>
      </w:r>
      <w:r>
        <w:rPr>
          <w:rFonts w:ascii="Book Antiqua" w:eastAsia="Times New Roman" w:hAnsi="Book Antiqua" w:cs="Book Antiqua"/>
          <w:sz w:val="24"/>
          <w:szCs w:val="24"/>
          <w:lang w:eastAsia="en-US"/>
        </w:rPr>
        <w:t>maximum penalty in accordance with statutory provisions.</w:t>
      </w:r>
      <w:r>
        <w:rPr>
          <w:rStyle w:val="FootnoteAnchor"/>
          <w:rFonts w:ascii="Book Antiqua" w:eastAsia="Times New Roman" w:hAnsi="Book Antiqua" w:cs="Book Antiqua"/>
          <w:sz w:val="24"/>
          <w:szCs w:val="24"/>
          <w:lang w:eastAsia="en-US"/>
        </w:rPr>
        <w:footnoteReference w:id="7"/>
      </w:r>
    </w:p>
    <w:p w:rsidR="006E0198" w:rsidRDefault="007F6EAE">
      <w:pPr>
        <w:pStyle w:val="ListParagraph"/>
        <w:spacing w:line="240" w:lineRule="auto"/>
        <w:ind w:left="0"/>
        <w:jc w:val="both"/>
        <w:rPr>
          <w:rFonts w:ascii="Book Antiqua" w:hAnsi="Book Antiqua" w:cs="Book Antiqua"/>
          <w:sz w:val="24"/>
          <w:szCs w:val="24"/>
          <w:lang w:val="id-ID"/>
        </w:rPr>
      </w:pPr>
      <w:r>
        <w:rPr>
          <w:rFonts w:ascii="Book Antiqua" w:hAnsi="Book Antiqua" w:cs="Book Antiqua"/>
          <w:sz w:val="24"/>
          <w:szCs w:val="24"/>
        </w:rPr>
        <w:t>The rate of child delinquency is increasing from year to year due to several factors. The factors that cause children's delinquency so that children are trapped in criminal cases and finally have to face the law among Soekanto are, for example, the lack of parental attention, circumstances that require children to meet the necessities of life, or even the search for identity. Several factors that cause delinquency in children often make children fall too deep. The absence of a warning or firm action against children involved in the delinquency will actually make the child further involved in delinquency. Things like this can bring up the courage of children to be involved in delinquency that can lead to criminal acts.</w:t>
      </w:r>
      <w:r>
        <w:rPr>
          <w:rStyle w:val="FootnoteAnchor"/>
          <w:rFonts w:ascii="Book Antiqua" w:hAnsi="Book Antiqua" w:cs="Book Antiqua"/>
          <w:sz w:val="24"/>
          <w:szCs w:val="24"/>
        </w:rPr>
        <w:footnoteReference w:id="8"/>
      </w:r>
      <w:r>
        <w:rPr>
          <w:rFonts w:ascii="Book Antiqua" w:hAnsi="Book Antiqua" w:cs="Book Antiqua"/>
          <w:sz w:val="24"/>
          <w:szCs w:val="24"/>
          <w:lang w:val="id-ID"/>
        </w:rPr>
        <w:t>So indirectly the perpetrators must and must be processed legally.</w:t>
      </w:r>
      <w:r>
        <w:rPr>
          <w:rStyle w:val="FootnoteAnchor"/>
          <w:rFonts w:ascii="Book Antiqua" w:hAnsi="Book Antiqua" w:cs="Book Antiqua"/>
          <w:sz w:val="24"/>
          <w:szCs w:val="24"/>
          <w:lang w:val="id-ID" w:eastAsia="en-US"/>
        </w:rPr>
        <w:footnoteReference w:id="9"/>
      </w:r>
      <w:r>
        <w:rPr>
          <w:rFonts w:ascii="Book Antiqua" w:hAnsi="Book Antiqua" w:cs="Book Antiqua"/>
          <w:sz w:val="24"/>
          <w:szCs w:val="24"/>
          <w:lang w:eastAsia="en-US"/>
        </w:rPr>
        <w:t>Legal protection is very necessary because it is an effort to integrate various needs in the association so that there is no conflict between needs and can enjoy all the rights granted by law.</w:t>
      </w:r>
      <w:r>
        <w:rPr>
          <w:rStyle w:val="FootnoteAnchor"/>
          <w:rFonts w:ascii="Book Antiqua" w:hAnsi="Book Antiqua" w:cs="Book Antiqua"/>
          <w:sz w:val="24"/>
          <w:szCs w:val="24"/>
          <w:lang w:val="id-ID" w:eastAsia="en-US"/>
        </w:rPr>
        <w:footnoteReference w:id="10"/>
      </w:r>
      <w:r>
        <w:rPr>
          <w:rFonts w:ascii="Book Antiqua" w:hAnsi="Book Antiqua" w:cs="Book Antiqua"/>
          <w:sz w:val="24"/>
          <w:szCs w:val="24"/>
          <w:lang w:val="id-ID" w:eastAsia="en-US"/>
        </w:rPr>
        <w:t>The existence of complete assistance and protection as a manifestation of the fulfillment of constitutional rights for every citizen in accordance with the objectives of the legal assistance.</w:t>
      </w:r>
      <w:r>
        <w:rPr>
          <w:rStyle w:val="FootnoteAnchor"/>
          <w:rFonts w:ascii="Book Antiqua" w:hAnsi="Book Antiqua" w:cs="Book Antiqua"/>
          <w:sz w:val="24"/>
          <w:szCs w:val="24"/>
          <w:lang w:eastAsia="en-US"/>
        </w:rPr>
        <w:footnoteReference w:id="11"/>
      </w:r>
    </w:p>
    <w:p w:rsidR="006E0198" w:rsidRDefault="007F6EAE">
      <w:pPr>
        <w:spacing w:line="240" w:lineRule="auto"/>
        <w:jc w:val="both"/>
        <w:rPr>
          <w:rFonts w:ascii="Book Antiqua" w:hAnsi="Book Antiqua" w:cs="Book Antiqua"/>
          <w:sz w:val="24"/>
          <w:szCs w:val="24"/>
          <w:lang w:val="id-ID"/>
        </w:rPr>
      </w:pPr>
      <w:r>
        <w:rPr>
          <w:rFonts w:ascii="Book Antiqua" w:hAnsi="Book Antiqua" w:cs="Book Antiqua"/>
          <w:sz w:val="24"/>
          <w:szCs w:val="24"/>
        </w:rPr>
        <w:t>The increasing number of children who commit violent crimes is a sad thing, because children are a generation that must be protected and are one part of the nation's successors who can advance this nation. Therefore, the protection of children in conflict with the law must strictly regulate Restorative Justice and Diversion which is intended to avoid and keep children away from the judicial process so as to avoid stigmatization of children in conflict with the law and it is hoped that children can return to a socially reasonable environment. To meet the needs of life, there are often crimes and violations committed by certain people and people who threaten some members of the community, these threatening actions are criminal acts.</w:t>
      </w:r>
      <w:r>
        <w:rPr>
          <w:rStyle w:val="FootnoteAnchor"/>
          <w:rFonts w:ascii="Book Antiqua" w:hAnsi="Book Antiqua" w:cs="Book Antiqua"/>
          <w:sz w:val="24"/>
          <w:szCs w:val="24"/>
          <w:lang w:val="id-ID" w:eastAsia="en-US"/>
        </w:rPr>
        <w:footnoteReference w:id="12"/>
      </w:r>
      <w:r>
        <w:rPr>
          <w:rFonts w:ascii="Book Antiqua" w:hAnsi="Book Antiqua" w:cs="Book Antiqua"/>
          <w:sz w:val="24"/>
          <w:szCs w:val="24"/>
          <w:lang w:eastAsia="en-US"/>
        </w:rPr>
        <w:t xml:space="preserve">So that society and every other person, including the government must heed it, by making laws on the basis of natural rights </w:t>
      </w:r>
      <w:r>
        <w:rPr>
          <w:rFonts w:ascii="Book Antiqua" w:hAnsi="Book Antiqua" w:cs="Book Antiqua"/>
          <w:sz w:val="24"/>
          <w:szCs w:val="24"/>
          <w:lang w:eastAsia="en-US"/>
        </w:rPr>
        <w:lastRenderedPageBreak/>
        <w:t>themselves.</w:t>
      </w:r>
      <w:r>
        <w:rPr>
          <w:rStyle w:val="FootnoteAnchor"/>
          <w:rFonts w:ascii="Book Antiqua" w:hAnsi="Book Antiqua" w:cs="Book Antiqua"/>
          <w:sz w:val="24"/>
          <w:szCs w:val="24"/>
          <w:lang w:val="id-ID" w:eastAsia="en-US"/>
        </w:rPr>
        <w:footnoteReference w:id="13"/>
      </w:r>
      <w:r>
        <w:rPr>
          <w:rFonts w:ascii="Book Antiqua" w:hAnsi="Book Antiqua" w:cs="Book Antiqua"/>
          <w:sz w:val="24"/>
          <w:szCs w:val="24"/>
          <w:lang w:eastAsia="en-US"/>
        </w:rPr>
        <w:t>As said by Prof. Fenty Puluhulawa in his writings also stated that the Government through the law has provided a starting point for the judiciary, which is carried out for the sake of justice based on the One Godhead.</w:t>
      </w:r>
      <w:r>
        <w:rPr>
          <w:rStyle w:val="FootnoteAnchor"/>
          <w:rFonts w:ascii="Book Antiqua" w:hAnsi="Book Antiqua" w:cs="Book Antiqua"/>
          <w:bCs/>
          <w:sz w:val="24"/>
          <w:szCs w:val="24"/>
          <w:lang w:val="id-ID" w:eastAsia="en-US"/>
        </w:rPr>
        <w:footnoteReference w:id="14"/>
      </w:r>
      <w:r>
        <w:rPr>
          <w:rFonts w:ascii="Book Antiqua" w:hAnsi="Book Antiqua" w:cs="Book Antiqua"/>
          <w:bCs/>
          <w:sz w:val="24"/>
          <w:szCs w:val="24"/>
          <w:lang w:val="id-ID" w:eastAsia="en-US"/>
        </w:rPr>
        <w:t xml:space="preserve"> </w:t>
      </w:r>
      <w:r>
        <w:rPr>
          <w:rFonts w:ascii="Book Antiqua" w:eastAsia="Times New Roman" w:hAnsi="Book Antiqua" w:cs="Book Antiqua"/>
          <w:sz w:val="24"/>
          <w:szCs w:val="24"/>
          <w:lang w:val="id-ID" w:eastAsia="en-US"/>
        </w:rPr>
        <w:t>Therefore, the important point is to ensure that every competent person in the authorities takes prompt and impartial action on indications such as acts of torture or serious discrimination that occur in their jurisdiction.</w:t>
      </w:r>
      <w:r>
        <w:rPr>
          <w:rStyle w:val="FootnoteAnchor"/>
          <w:rFonts w:ascii="Book Antiqua" w:eastAsia="Times New Roman" w:hAnsi="Book Antiqua" w:cs="Book Antiqua"/>
          <w:sz w:val="24"/>
          <w:szCs w:val="24"/>
          <w:lang w:eastAsia="en-US"/>
        </w:rPr>
        <w:footnoteReference w:id="15"/>
      </w:r>
      <w:r>
        <w:rPr>
          <w:rFonts w:ascii="Book Antiqua" w:eastAsia="Times New Roman" w:hAnsi="Book Antiqua" w:cs="Book Antiqua"/>
          <w:sz w:val="24"/>
          <w:szCs w:val="24"/>
          <w:lang w:val="id-ID" w:eastAsia="en-US"/>
        </w:rPr>
        <w:t xml:space="preserve"> </w:t>
      </w:r>
      <w:r>
        <w:rPr>
          <w:rFonts w:ascii="Book Antiqua" w:hAnsi="Book Antiqua" w:cs="Book Antiqua"/>
          <w:sz w:val="24"/>
          <w:szCs w:val="24"/>
          <w:lang w:val="id-ID" w:eastAsia="en-US"/>
        </w:rPr>
        <w:t xml:space="preserve"> </w:t>
      </w:r>
    </w:p>
    <w:p w:rsidR="006E0198" w:rsidRDefault="007F6EAE">
      <w:pPr>
        <w:spacing w:line="240" w:lineRule="auto"/>
        <w:jc w:val="both"/>
        <w:rPr>
          <w:rFonts w:ascii="Book Antiqua" w:hAnsi="Book Antiqua" w:cs="Book Antiqua"/>
          <w:sz w:val="24"/>
          <w:szCs w:val="24"/>
        </w:rPr>
      </w:pPr>
      <w:r>
        <w:rPr>
          <w:rFonts w:ascii="Book Antiqua" w:hAnsi="Book Antiqua" w:cs="Book Antiqua"/>
          <w:bCs/>
          <w:sz w:val="24"/>
          <w:szCs w:val="24"/>
          <w:lang w:val="id-ID" w:eastAsia="en-US"/>
        </w:rPr>
        <w:t>Equality in law or equality before the law means that when dealing with the law, there should be no form of discrimination or discrimination.</w:t>
      </w:r>
      <w:r>
        <w:rPr>
          <w:rFonts w:ascii="Book Antiqua" w:hAnsi="Book Antiqua" w:cs="Book Antiqua"/>
          <w:sz w:val="24"/>
          <w:szCs w:val="24"/>
          <w:lang w:val="id-ID" w:eastAsia="en-US"/>
        </w:rPr>
        <w:t>different treatment for citizens, because all are equal before the law.</w:t>
      </w:r>
      <w:r>
        <w:rPr>
          <w:rStyle w:val="FootnoteAnchor"/>
          <w:rFonts w:ascii="Book Antiqua" w:hAnsi="Book Antiqua" w:cs="Book Antiqua"/>
          <w:bCs/>
          <w:sz w:val="24"/>
          <w:szCs w:val="24"/>
          <w:lang w:val="id-ID" w:eastAsia="en-US"/>
        </w:rPr>
        <w:footnoteReference w:id="16"/>
      </w:r>
      <w:r>
        <w:rPr>
          <w:rFonts w:ascii="Book Antiqua" w:hAnsi="Book Antiqua" w:cs="Book Antiqua"/>
          <w:bCs/>
          <w:sz w:val="24"/>
          <w:szCs w:val="24"/>
          <w:lang w:val="id-ID" w:eastAsia="en-US"/>
        </w:rPr>
        <w:t xml:space="preserve"> </w:t>
      </w:r>
      <w:r>
        <w:rPr>
          <w:rFonts w:ascii="Book Antiqua" w:hAnsi="Book Antiqua" w:cs="Book Antiqua"/>
          <w:sz w:val="24"/>
          <w:szCs w:val="24"/>
          <w:lang w:val="id-ID"/>
        </w:rPr>
        <w:t>The legal handling that is being carried out by the child must be carried out by considering the rights inherent in the child, without exception the handling of children who are undergoing a criminal period at the Child Special Pembiaaan Institution (LPKA). Law No. 11 of 2012 concerning the Juvenile Criminal Justice System regulates more specifically the rights of children who are undergoing a criminal period, including:</w:t>
      </w:r>
      <w:r>
        <w:rPr>
          <w:rStyle w:val="FootnoteAnchor"/>
          <w:rFonts w:ascii="Book Antiqua" w:hAnsi="Book Antiqua" w:cs="Book Antiqua"/>
          <w:sz w:val="24"/>
          <w:szCs w:val="24"/>
        </w:rPr>
        <w:footnoteReference w:id="17"/>
      </w:r>
    </w:p>
    <w:p w:rsidR="006E0198" w:rsidRDefault="007F6EAE">
      <w:pPr>
        <w:pStyle w:val="ListParagraph"/>
        <w:numPr>
          <w:ilvl w:val="0"/>
          <w:numId w:val="3"/>
        </w:numPr>
        <w:spacing w:line="240" w:lineRule="auto"/>
        <w:jc w:val="both"/>
        <w:rPr>
          <w:rFonts w:ascii="Book Antiqua" w:hAnsi="Book Antiqua" w:cs="Book Antiqua"/>
          <w:sz w:val="24"/>
          <w:szCs w:val="24"/>
        </w:rPr>
      </w:pPr>
      <w:r>
        <w:rPr>
          <w:rFonts w:ascii="Book Antiqua" w:hAnsi="Book Antiqua" w:cs="Book Antiqua"/>
          <w:sz w:val="24"/>
          <w:szCs w:val="24"/>
        </w:rPr>
        <w:t>Get a reduction in the criminal period (remission);</w:t>
      </w:r>
    </w:p>
    <w:p w:rsidR="006E0198" w:rsidRDefault="007F6EAE">
      <w:pPr>
        <w:pStyle w:val="ListParagraph"/>
        <w:numPr>
          <w:ilvl w:val="0"/>
          <w:numId w:val="3"/>
        </w:numPr>
        <w:spacing w:line="240" w:lineRule="auto"/>
        <w:jc w:val="both"/>
        <w:rPr>
          <w:rFonts w:ascii="Book Antiqua" w:hAnsi="Book Antiqua" w:cs="Book Antiqua"/>
          <w:sz w:val="24"/>
          <w:szCs w:val="24"/>
        </w:rPr>
      </w:pPr>
      <w:r>
        <w:rPr>
          <w:rFonts w:ascii="Book Antiqua" w:hAnsi="Book Antiqua" w:cs="Book Antiqua"/>
          <w:sz w:val="24"/>
          <w:szCs w:val="24"/>
        </w:rPr>
        <w:t>Gaining assimilation;</w:t>
      </w:r>
    </w:p>
    <w:p w:rsidR="006E0198" w:rsidRDefault="007F6EAE">
      <w:pPr>
        <w:pStyle w:val="ListParagraph"/>
        <w:numPr>
          <w:ilvl w:val="0"/>
          <w:numId w:val="3"/>
        </w:numPr>
        <w:spacing w:line="240" w:lineRule="auto"/>
        <w:jc w:val="both"/>
        <w:rPr>
          <w:rFonts w:ascii="Book Antiqua" w:hAnsi="Book Antiqua" w:cs="Book Antiqua"/>
          <w:sz w:val="24"/>
          <w:szCs w:val="24"/>
        </w:rPr>
      </w:pPr>
      <w:r>
        <w:rPr>
          <w:rFonts w:ascii="Book Antiqua" w:hAnsi="Book Antiqua" w:cs="Book Antiqua"/>
          <w:sz w:val="24"/>
          <w:szCs w:val="24"/>
        </w:rPr>
        <w:t>Obtaining leave to visit family;</w:t>
      </w:r>
    </w:p>
    <w:p w:rsidR="006E0198" w:rsidRDefault="007F6EAE">
      <w:pPr>
        <w:pStyle w:val="ListParagraph"/>
        <w:numPr>
          <w:ilvl w:val="0"/>
          <w:numId w:val="3"/>
        </w:numPr>
        <w:spacing w:line="240" w:lineRule="auto"/>
        <w:jc w:val="both"/>
        <w:rPr>
          <w:rFonts w:ascii="Book Antiqua" w:hAnsi="Book Antiqua" w:cs="Book Antiqua"/>
          <w:sz w:val="24"/>
          <w:szCs w:val="24"/>
        </w:rPr>
      </w:pPr>
      <w:r>
        <w:rPr>
          <w:rFonts w:ascii="Book Antiqua" w:hAnsi="Book Antiqua" w:cs="Book Antiqua"/>
          <w:sz w:val="24"/>
          <w:szCs w:val="24"/>
        </w:rPr>
        <w:t>Obtaining parole;</w:t>
      </w:r>
    </w:p>
    <w:p w:rsidR="006E0198" w:rsidRDefault="007F6EAE">
      <w:pPr>
        <w:pStyle w:val="ListParagraph"/>
        <w:numPr>
          <w:ilvl w:val="0"/>
          <w:numId w:val="3"/>
        </w:numPr>
        <w:spacing w:line="240" w:lineRule="auto"/>
        <w:jc w:val="both"/>
        <w:rPr>
          <w:rFonts w:ascii="Book Antiqua" w:hAnsi="Book Antiqua" w:cs="Book Antiqua"/>
          <w:sz w:val="24"/>
          <w:szCs w:val="24"/>
        </w:rPr>
      </w:pPr>
      <w:r>
        <w:rPr>
          <w:rFonts w:ascii="Book Antiqua" w:hAnsi="Book Antiqua" w:cs="Book Antiqua"/>
          <w:sz w:val="24"/>
          <w:szCs w:val="24"/>
        </w:rPr>
        <w:t>Obtaining leave before free;</w:t>
      </w:r>
    </w:p>
    <w:p w:rsidR="006E0198" w:rsidRDefault="007F6EAE">
      <w:pPr>
        <w:pStyle w:val="ListParagraph"/>
        <w:numPr>
          <w:ilvl w:val="0"/>
          <w:numId w:val="3"/>
        </w:numPr>
        <w:spacing w:line="240" w:lineRule="auto"/>
        <w:jc w:val="both"/>
        <w:rPr>
          <w:rFonts w:ascii="Book Antiqua" w:hAnsi="Book Antiqua" w:cs="Book Antiqua"/>
          <w:sz w:val="24"/>
          <w:szCs w:val="24"/>
        </w:rPr>
      </w:pPr>
      <w:r>
        <w:rPr>
          <w:rFonts w:ascii="Book Antiqua" w:hAnsi="Book Antiqua" w:cs="Book Antiqua"/>
          <w:sz w:val="24"/>
          <w:szCs w:val="24"/>
        </w:rPr>
        <w:t>Obtain conditional leave;</w:t>
      </w:r>
    </w:p>
    <w:p w:rsidR="006E0198" w:rsidRDefault="007F6EAE">
      <w:pPr>
        <w:pStyle w:val="ListParagraph"/>
        <w:numPr>
          <w:ilvl w:val="0"/>
          <w:numId w:val="3"/>
        </w:numPr>
        <w:spacing w:line="240" w:lineRule="auto"/>
        <w:jc w:val="both"/>
        <w:rPr>
          <w:rFonts w:ascii="Book Antiqua" w:hAnsi="Book Antiqua" w:cs="Book Antiqua"/>
          <w:sz w:val="24"/>
          <w:szCs w:val="24"/>
        </w:rPr>
      </w:pPr>
      <w:r>
        <w:rPr>
          <w:rFonts w:ascii="Book Antiqua" w:hAnsi="Book Antiqua" w:cs="Book Antiqua"/>
          <w:sz w:val="24"/>
          <w:szCs w:val="24"/>
        </w:rPr>
        <w:t>Obtain other rights in accordance with the provisions of the legislation.</w:t>
      </w:r>
    </w:p>
    <w:p w:rsidR="006E0198" w:rsidRDefault="007F6EAE">
      <w:pPr>
        <w:spacing w:line="240" w:lineRule="auto"/>
        <w:jc w:val="both"/>
        <w:rPr>
          <w:rFonts w:ascii="Book Antiqua" w:hAnsi="Book Antiqua" w:cs="Book Antiqua"/>
          <w:sz w:val="24"/>
          <w:szCs w:val="24"/>
        </w:rPr>
      </w:pPr>
      <w:r>
        <w:rPr>
          <w:rFonts w:ascii="Book Antiqua" w:hAnsi="Book Antiqua" w:cs="Book Antiqua"/>
          <w:sz w:val="24"/>
          <w:szCs w:val="24"/>
        </w:rPr>
        <w:t>If we look at the above, of course the process of fostering children carried out in the Special Child Development Institution (LPKA) must fulfill all the rights of the child. So that when they leave and have fulfilled their obligations at the Child Special Guidance Institute (LPKA) they can be accepted again, can socialize again and can reconnect with the community.</w:t>
      </w:r>
    </w:p>
    <w:p w:rsidR="006E0198" w:rsidRDefault="007F6EAE">
      <w:pPr>
        <w:spacing w:line="240" w:lineRule="auto"/>
        <w:jc w:val="both"/>
        <w:rPr>
          <w:rFonts w:ascii="Book Antiqua" w:hAnsi="Book Antiqua" w:cs="Book Antiqua"/>
          <w:sz w:val="24"/>
          <w:szCs w:val="24"/>
          <w:lang w:val="id-ID"/>
        </w:rPr>
      </w:pPr>
      <w:r>
        <w:rPr>
          <w:rFonts w:ascii="Book Antiqua" w:hAnsi="Book Antiqua" w:cs="Book Antiqua"/>
          <w:sz w:val="24"/>
          <w:szCs w:val="24"/>
        </w:rPr>
        <w:t xml:space="preserve">The current increasing Covid-19 outbreak, in order to make policies to fulfill all the rights inherent in children, the government establishes through the Right of Assimilation and Right of Integration. The right of assimilation is the process of </w:t>
      </w:r>
      <w:r>
        <w:rPr>
          <w:rFonts w:ascii="Book Antiqua" w:hAnsi="Book Antiqua" w:cs="Book Antiqua"/>
          <w:sz w:val="24"/>
          <w:szCs w:val="24"/>
        </w:rPr>
        <w:lastRenderedPageBreak/>
        <w:t>fostering prisoners and children carried out by assembling prisoners and children in society. Furthermore, the right of integration is the granting of parole, leave before release and conditional leave for prisoners and children who commit crimes other than terrorism, narcotics and narcotic precursors, psychotropic substances, corruption, crimes against state security and serious human rights crimes, as well as other crimes. organized transnationals or foreign nationals. Previously, that Indonesia was the highest agreement among the state-formers,</w:t>
      </w:r>
      <w:r>
        <w:rPr>
          <w:rStyle w:val="FootnoteAnchor"/>
          <w:rFonts w:ascii="Book Antiqua" w:hAnsi="Book Antiqua" w:cs="Book Antiqua"/>
          <w:sz w:val="24"/>
          <w:szCs w:val="24"/>
          <w:lang w:val="id-ID" w:eastAsia="en-US"/>
        </w:rPr>
        <w:footnoteReference w:id="18"/>
      </w:r>
      <w:r>
        <w:rPr>
          <w:rFonts w:ascii="Book Antiqua" w:hAnsi="Book Antiqua" w:cs="Book Antiqua"/>
          <w:sz w:val="24"/>
          <w:szCs w:val="24"/>
          <w:lang w:val="id-ID" w:eastAsia="en-US"/>
        </w:rPr>
        <w:t>The government creates order and peace in people's lives, and maximizes the potential for regional development.</w:t>
      </w:r>
      <w:r>
        <w:rPr>
          <w:rStyle w:val="FootnoteAnchor"/>
          <w:rFonts w:ascii="Book Antiqua" w:hAnsi="Book Antiqua" w:cs="Book Antiqua"/>
          <w:sz w:val="24"/>
          <w:szCs w:val="24"/>
          <w:lang w:eastAsia="en-US"/>
        </w:rPr>
        <w:footnoteReference w:id="19"/>
      </w:r>
    </w:p>
    <w:p w:rsidR="006E0198" w:rsidRDefault="007F6EAE">
      <w:pPr>
        <w:spacing w:line="240" w:lineRule="auto"/>
        <w:jc w:val="both"/>
        <w:rPr>
          <w:rFonts w:ascii="Book Antiqua" w:hAnsi="Book Antiqua" w:cs="Book Antiqua"/>
          <w:iCs/>
          <w:sz w:val="24"/>
          <w:szCs w:val="24"/>
          <w:lang w:val="id-ID"/>
        </w:rPr>
      </w:pPr>
      <w:r>
        <w:rPr>
          <w:rFonts w:ascii="Book Antiqua" w:hAnsi="Book Antiqua" w:cs="Book Antiqua"/>
          <w:sz w:val="24"/>
          <w:szCs w:val="24"/>
        </w:rPr>
        <w:t>The release of prisoners and children is carried out solely as part of the government's efforts to break the chain of the spread of the Covid-19 virus in the Penitentiary and Detention Centers as well as within the Child Special Guidance Institution (LPKA). In the Decree of the Minister of Law and Human Rights Number M.HH-19.PK.01.04.04 of 2020 concerning the release and release of prisoners and children through the Assimilation and Integration rights program, it is carried out for prisoners who have two-thirds of their criminal terms until December 31, 2020 and children who half of the sentence is until December 31, 2020. As before the Covid-19 pandemic, a program to reduce the number of prison prisoners had been initiated, for example by the proposal to optimize the imposition of substitute penalties in the form of fines, conditional penalties and panel mediation, whose implementation still requires adjustments and changes to the criminal law and the criminal system as part of the Integrated Criminal Justice System. While the criminal threat is shown to the person who caused the incident.</w:t>
      </w:r>
      <w:r>
        <w:rPr>
          <w:rStyle w:val="FootnoteAnchor"/>
          <w:rFonts w:ascii="Book Antiqua" w:hAnsi="Book Antiqua" w:cs="Book Antiqua"/>
          <w:sz w:val="24"/>
          <w:szCs w:val="24"/>
        </w:rPr>
        <w:footnoteReference w:id="20"/>
      </w:r>
      <w:r>
        <w:rPr>
          <w:rFonts w:ascii="Book Antiqua" w:hAnsi="Book Antiqua" w:cs="Book Antiqua"/>
          <w:sz w:val="24"/>
          <w:szCs w:val="24"/>
        </w:rPr>
        <w:t xml:space="preserve"> </w:t>
      </w:r>
      <w:r>
        <w:rPr>
          <w:rFonts w:ascii="Book Antiqua" w:eastAsia="Times New Roman" w:hAnsi="Book Antiqua" w:cs="Book Antiqua"/>
          <w:sz w:val="24"/>
          <w:szCs w:val="24"/>
          <w:lang w:val="id-ID" w:eastAsia="en-US"/>
        </w:rPr>
        <w:t>Quoting what was said in the journal Fence Wantu and A. Hamid T that</w:t>
      </w:r>
      <w:r>
        <w:rPr>
          <w:rFonts w:ascii="Book Antiqua" w:hAnsi="Book Antiqua" w:cs="Book Antiqua"/>
          <w:sz w:val="24"/>
          <w:szCs w:val="24"/>
          <w:lang w:val="id-ID" w:eastAsia="en-US"/>
        </w:rPr>
        <w:t>The existence of these regulations provides equal rights for every citizen.</w:t>
      </w:r>
      <w:r>
        <w:rPr>
          <w:rStyle w:val="FootnoteAnchor"/>
          <w:rFonts w:ascii="Book Antiqua" w:hAnsi="Book Antiqua" w:cs="Book Antiqua"/>
          <w:sz w:val="24"/>
          <w:szCs w:val="24"/>
          <w:lang w:eastAsia="en-US"/>
        </w:rPr>
        <w:footnoteReference w:id="21"/>
      </w:r>
    </w:p>
    <w:p w:rsidR="006E0198" w:rsidRDefault="007F6EAE">
      <w:pPr>
        <w:spacing w:line="240" w:lineRule="auto"/>
        <w:jc w:val="both"/>
      </w:pPr>
      <w:r>
        <w:rPr>
          <w:rFonts w:ascii="Book Antiqua" w:hAnsi="Book Antiqua" w:cs="Book Antiqua"/>
          <w:sz w:val="24"/>
          <w:szCs w:val="24"/>
        </w:rPr>
        <w:t>The release of prisoners and correctional students is carried out by considering the vulnerability of the spread of the Covid-19 virus in Correctional Institutions and Detention Centers as well as the Special Child Development Institute (LPKA) in Indonesia, which incidentally has excess occupants, which is still reaping controversy in the community. Because it is not uncommon for those who have been released to repeat their unlawful acts.</w:t>
      </w:r>
    </w:p>
    <w:p w:rsidR="006E0198" w:rsidRDefault="007F6EAE">
      <w:pPr>
        <w:spacing w:line="240" w:lineRule="auto"/>
        <w:jc w:val="both"/>
        <w:rPr>
          <w:rFonts w:ascii="Book Antiqua" w:hAnsi="Book Antiqua" w:cs="Book Antiqua"/>
          <w:sz w:val="24"/>
          <w:szCs w:val="24"/>
          <w:lang w:val="id-ID"/>
        </w:rPr>
      </w:pPr>
      <w:r>
        <w:rPr>
          <w:rFonts w:ascii="Book Antiqua" w:hAnsi="Book Antiqua" w:cs="Book Antiqua"/>
          <w:sz w:val="24"/>
          <w:szCs w:val="24"/>
          <w:lang w:val="id-ID"/>
        </w:rPr>
        <w:lastRenderedPageBreak/>
        <w:t>Evidence from those who act can be an assessment that the behavior before they were released and allowed to mingle into society was less effective. When the government cannot guarantee that they will not repeat their unlawful actions again, what the government can guarantee is the supervision and action of officers on guard as long as they are returned to the community through the Right of Assimilation and Right of Integration. In essence, everyone has the right to legal protection for the rights of everyone, including children, even though the child does not know the legal problems with him. The right to life must also be protected by the state, especially the rule of law.</w:t>
      </w:r>
      <w:r>
        <w:rPr>
          <w:rStyle w:val="FootnoteAnchor"/>
          <w:rFonts w:ascii="Book Antiqua" w:hAnsi="Book Antiqua" w:cs="Book Antiqua"/>
          <w:sz w:val="24"/>
          <w:szCs w:val="24"/>
          <w:lang w:val="id-ID" w:eastAsia="en-US"/>
        </w:rPr>
        <w:footnoteReference w:id="22"/>
      </w:r>
      <w:r>
        <w:rPr>
          <w:rFonts w:ascii="Book Antiqua" w:hAnsi="Book Antiqua" w:cs="Book Antiqua"/>
          <w:sz w:val="24"/>
          <w:szCs w:val="24"/>
          <w:lang w:eastAsia="en-US"/>
        </w:rPr>
        <w:t>The benefit is so that it does not become a clash in the life of society and the state.</w:t>
      </w:r>
      <w:r>
        <w:rPr>
          <w:rStyle w:val="FootnoteAnchor"/>
          <w:rFonts w:ascii="Book Antiqua" w:hAnsi="Book Antiqua" w:cs="Book Antiqua"/>
          <w:sz w:val="24"/>
          <w:szCs w:val="24"/>
          <w:lang w:val="id-ID" w:eastAsia="en-US"/>
        </w:rPr>
        <w:footnoteReference w:id="23"/>
      </w:r>
    </w:p>
    <w:p w:rsidR="006E0198" w:rsidRDefault="007F6EAE">
      <w:pPr>
        <w:pStyle w:val="ListParagraph"/>
        <w:spacing w:line="240" w:lineRule="auto"/>
        <w:ind w:left="0" w:firstLine="18"/>
        <w:jc w:val="center"/>
        <w:rPr>
          <w:rFonts w:ascii="Book Antiqua" w:hAnsi="Book Antiqua" w:cs="Book Antiqua"/>
          <w:b/>
          <w:iCs/>
          <w:sz w:val="24"/>
          <w:szCs w:val="24"/>
        </w:rPr>
      </w:pPr>
      <w:r>
        <w:rPr>
          <w:rFonts w:ascii="Book Antiqua" w:hAnsi="Book Antiqua" w:cs="Book Antiqua"/>
          <w:b/>
          <w:iCs/>
          <w:sz w:val="24"/>
          <w:szCs w:val="24"/>
        </w:rPr>
        <w:t>Table 1.</w:t>
      </w:r>
    </w:p>
    <w:p w:rsidR="006E0198" w:rsidRDefault="007F6EAE">
      <w:pPr>
        <w:pStyle w:val="ListParagraph"/>
        <w:spacing w:after="0" w:line="240" w:lineRule="auto"/>
        <w:ind w:left="0" w:firstLine="18"/>
        <w:jc w:val="center"/>
        <w:rPr>
          <w:lang w:val="id-ID"/>
        </w:rPr>
      </w:pPr>
      <w:r>
        <w:rPr>
          <w:rFonts w:ascii="Book Antiqua" w:hAnsi="Book Antiqua" w:cs="Book Antiqua"/>
          <w:b/>
          <w:iCs/>
          <w:sz w:val="24"/>
          <w:szCs w:val="24"/>
          <w:lang w:val="id-ID"/>
        </w:rPr>
        <w:t>List of granting rights of assimilation and integration rights of correctional students</w:t>
      </w:r>
    </w:p>
    <w:tbl>
      <w:tblPr>
        <w:tblW w:w="7796" w:type="dxa"/>
        <w:jc w:val="center"/>
        <w:tblLayout w:type="fixed"/>
        <w:tblCellMar>
          <w:left w:w="0" w:type="dxa"/>
          <w:right w:w="0" w:type="dxa"/>
        </w:tblCellMar>
        <w:tblLook w:val="0000" w:firstRow="0" w:lastRow="0" w:firstColumn="0" w:lastColumn="0" w:noHBand="0" w:noVBand="0"/>
      </w:tblPr>
      <w:tblGrid>
        <w:gridCol w:w="2268"/>
        <w:gridCol w:w="2551"/>
        <w:gridCol w:w="2977"/>
      </w:tblGrid>
      <w:tr w:rsidR="006E0198">
        <w:trPr>
          <w:trHeight w:val="673"/>
          <w:jc w:val="center"/>
        </w:trPr>
        <w:tc>
          <w:tcPr>
            <w:tcW w:w="2268" w:type="dxa"/>
            <w:tcBorders>
              <w:top w:val="single" w:sz="4" w:space="0" w:color="000000"/>
              <w:bottom w:val="single" w:sz="4" w:space="0" w:color="000000"/>
            </w:tcBorders>
          </w:tcPr>
          <w:p w:rsidR="006E0198" w:rsidRDefault="006E0198">
            <w:pPr>
              <w:snapToGrid w:val="0"/>
              <w:spacing w:after="0" w:line="240" w:lineRule="auto"/>
              <w:jc w:val="center"/>
              <w:rPr>
                <w:rFonts w:ascii="Book Antiqua" w:eastAsia="Arial Unicode MS" w:hAnsi="Book Antiqua" w:cs="Book Antiqua"/>
                <w:b/>
                <w:sz w:val="24"/>
                <w:szCs w:val="24"/>
              </w:rPr>
            </w:pPr>
          </w:p>
          <w:p w:rsidR="006E0198" w:rsidRDefault="007F6EAE">
            <w:pPr>
              <w:spacing w:after="0" w:line="240" w:lineRule="auto"/>
              <w:jc w:val="center"/>
              <w:rPr>
                <w:rFonts w:ascii="Book Antiqua" w:eastAsia="Arial Unicode MS" w:hAnsi="Book Antiqua" w:cs="Book Antiqua"/>
                <w:b/>
                <w:sz w:val="24"/>
                <w:szCs w:val="24"/>
              </w:rPr>
            </w:pPr>
            <w:r>
              <w:rPr>
                <w:rFonts w:ascii="Book Antiqua" w:eastAsia="Arial Unicode MS" w:hAnsi="Book Antiqua" w:cs="Book Antiqua"/>
                <w:b/>
                <w:sz w:val="24"/>
                <w:szCs w:val="24"/>
              </w:rPr>
              <w:t>YEAR</w:t>
            </w:r>
          </w:p>
        </w:tc>
        <w:tc>
          <w:tcPr>
            <w:tcW w:w="2551" w:type="dxa"/>
            <w:tcBorders>
              <w:top w:val="single" w:sz="4" w:space="0" w:color="000000"/>
              <w:bottom w:val="single" w:sz="4" w:space="0" w:color="000000"/>
            </w:tcBorders>
          </w:tcPr>
          <w:p w:rsidR="006E0198" w:rsidRDefault="006E0198">
            <w:pPr>
              <w:snapToGrid w:val="0"/>
              <w:spacing w:after="0" w:line="240" w:lineRule="auto"/>
              <w:rPr>
                <w:rFonts w:ascii="Book Antiqua" w:eastAsia="Arial Unicode MS" w:hAnsi="Book Antiqua" w:cs="Book Antiqua"/>
                <w:b/>
                <w:sz w:val="24"/>
                <w:szCs w:val="24"/>
              </w:rPr>
            </w:pPr>
          </w:p>
          <w:p w:rsidR="006E0198" w:rsidRDefault="007F6EAE">
            <w:pPr>
              <w:spacing w:after="0" w:line="240" w:lineRule="auto"/>
              <w:jc w:val="center"/>
              <w:rPr>
                <w:rFonts w:ascii="Book Antiqua" w:eastAsia="Arial Unicode MS" w:hAnsi="Book Antiqua" w:cs="Book Antiqua"/>
                <w:b/>
                <w:sz w:val="24"/>
                <w:szCs w:val="24"/>
              </w:rPr>
            </w:pPr>
            <w:r>
              <w:rPr>
                <w:rFonts w:ascii="Book Antiqua" w:eastAsia="Arial Unicode MS" w:hAnsi="Book Antiqua" w:cs="Book Antiqua"/>
                <w:b/>
                <w:sz w:val="24"/>
                <w:szCs w:val="24"/>
              </w:rPr>
              <w:t>AMOUNT</w:t>
            </w:r>
          </w:p>
        </w:tc>
        <w:tc>
          <w:tcPr>
            <w:tcW w:w="2977" w:type="dxa"/>
            <w:tcBorders>
              <w:top w:val="single" w:sz="4" w:space="0" w:color="000000"/>
              <w:bottom w:val="single" w:sz="4" w:space="0" w:color="000000"/>
            </w:tcBorders>
          </w:tcPr>
          <w:p w:rsidR="006E0198" w:rsidRDefault="006E0198">
            <w:pPr>
              <w:snapToGrid w:val="0"/>
              <w:spacing w:after="0" w:line="240" w:lineRule="auto"/>
              <w:jc w:val="center"/>
              <w:rPr>
                <w:rFonts w:ascii="Book Antiqua" w:eastAsia="Arial Unicode MS" w:hAnsi="Book Antiqua" w:cs="Book Antiqua"/>
                <w:b/>
                <w:sz w:val="24"/>
                <w:szCs w:val="24"/>
              </w:rPr>
            </w:pPr>
          </w:p>
          <w:p w:rsidR="006E0198" w:rsidRDefault="007F6EAE">
            <w:pPr>
              <w:spacing w:after="0" w:line="240" w:lineRule="auto"/>
              <w:jc w:val="center"/>
              <w:rPr>
                <w:rFonts w:ascii="Book Antiqua" w:eastAsia="Arial Unicode MS" w:hAnsi="Book Antiqua" w:cs="Book Antiqua"/>
                <w:b/>
                <w:sz w:val="24"/>
                <w:szCs w:val="24"/>
              </w:rPr>
            </w:pPr>
            <w:r>
              <w:rPr>
                <w:rFonts w:ascii="Book Antiqua" w:eastAsia="Arial Unicode MS" w:hAnsi="Book Antiqua" w:cs="Book Antiqua"/>
                <w:b/>
                <w:sz w:val="24"/>
                <w:szCs w:val="24"/>
              </w:rPr>
              <w:t>DESCRIPTION</w:t>
            </w:r>
          </w:p>
        </w:tc>
      </w:tr>
      <w:tr w:rsidR="006E0198">
        <w:trPr>
          <w:jc w:val="center"/>
        </w:trPr>
        <w:tc>
          <w:tcPr>
            <w:tcW w:w="2268" w:type="dxa"/>
            <w:tcBorders>
              <w:top w:val="single" w:sz="4" w:space="0" w:color="000000"/>
            </w:tcBorders>
          </w:tcPr>
          <w:p w:rsidR="006E0198" w:rsidRDefault="007F6EAE">
            <w:pPr>
              <w:spacing w:after="0" w:line="240" w:lineRule="auto"/>
              <w:jc w:val="center"/>
              <w:rPr>
                <w:rFonts w:ascii="Book Antiqua" w:eastAsia="Arial Unicode MS" w:hAnsi="Book Antiqua" w:cs="Book Antiqua"/>
                <w:sz w:val="24"/>
                <w:szCs w:val="24"/>
              </w:rPr>
            </w:pPr>
            <w:r>
              <w:rPr>
                <w:rFonts w:ascii="Book Antiqua" w:eastAsia="Arial Unicode MS" w:hAnsi="Book Antiqua" w:cs="Book Antiqua"/>
                <w:sz w:val="24"/>
                <w:szCs w:val="24"/>
              </w:rPr>
              <w:t>2020</w:t>
            </w:r>
          </w:p>
        </w:tc>
        <w:tc>
          <w:tcPr>
            <w:tcW w:w="2551" w:type="dxa"/>
            <w:tcBorders>
              <w:top w:val="single" w:sz="4" w:space="0" w:color="000000"/>
            </w:tcBorders>
          </w:tcPr>
          <w:p w:rsidR="006E0198" w:rsidRDefault="007F6EAE">
            <w:pPr>
              <w:spacing w:after="0" w:line="240" w:lineRule="auto"/>
              <w:jc w:val="center"/>
              <w:rPr>
                <w:rFonts w:ascii="Book Antiqua" w:eastAsia="Arial Unicode MS" w:hAnsi="Book Antiqua" w:cs="Book Antiqua"/>
                <w:sz w:val="24"/>
                <w:szCs w:val="24"/>
              </w:rPr>
            </w:pPr>
            <w:r>
              <w:rPr>
                <w:rFonts w:ascii="Book Antiqua" w:eastAsia="Arial Unicode MS" w:hAnsi="Book Antiqua" w:cs="Book Antiqua"/>
                <w:sz w:val="24"/>
                <w:szCs w:val="24"/>
              </w:rPr>
              <w:t>11</w:t>
            </w:r>
          </w:p>
        </w:tc>
        <w:tc>
          <w:tcPr>
            <w:tcW w:w="2977" w:type="dxa"/>
            <w:tcBorders>
              <w:top w:val="single" w:sz="4" w:space="0" w:color="000000"/>
            </w:tcBorders>
          </w:tcPr>
          <w:p w:rsidR="006E0198" w:rsidRDefault="007F6EAE">
            <w:pPr>
              <w:spacing w:after="0" w:line="240" w:lineRule="auto"/>
              <w:jc w:val="center"/>
              <w:rPr>
                <w:rFonts w:ascii="Book Antiqua" w:eastAsia="Arial Unicode MS" w:hAnsi="Book Antiqua" w:cs="Book Antiqua"/>
                <w:sz w:val="24"/>
                <w:szCs w:val="24"/>
              </w:rPr>
            </w:pPr>
            <w:r>
              <w:rPr>
                <w:rFonts w:ascii="Book Antiqua" w:eastAsia="Arial Unicode MS" w:hAnsi="Book Antiqua" w:cs="Book Antiqua"/>
                <w:sz w:val="24"/>
                <w:szCs w:val="24"/>
              </w:rPr>
              <w:t>Home Assimilation</w:t>
            </w:r>
          </w:p>
        </w:tc>
      </w:tr>
      <w:tr w:rsidR="006E0198">
        <w:trPr>
          <w:jc w:val="center"/>
        </w:trPr>
        <w:tc>
          <w:tcPr>
            <w:tcW w:w="2268" w:type="dxa"/>
          </w:tcPr>
          <w:p w:rsidR="006E0198" w:rsidRDefault="007F6EAE">
            <w:pPr>
              <w:spacing w:after="0" w:line="240" w:lineRule="auto"/>
              <w:jc w:val="center"/>
              <w:rPr>
                <w:rFonts w:ascii="Book Antiqua" w:eastAsia="Arial Unicode MS" w:hAnsi="Book Antiqua" w:cs="Book Antiqua"/>
                <w:sz w:val="24"/>
                <w:szCs w:val="24"/>
              </w:rPr>
            </w:pPr>
            <w:r>
              <w:rPr>
                <w:rFonts w:ascii="Book Antiqua" w:eastAsia="Arial Unicode MS" w:hAnsi="Book Antiqua" w:cs="Book Antiqua"/>
                <w:sz w:val="24"/>
                <w:szCs w:val="24"/>
              </w:rPr>
              <w:t>2020</w:t>
            </w:r>
          </w:p>
        </w:tc>
        <w:tc>
          <w:tcPr>
            <w:tcW w:w="2551" w:type="dxa"/>
          </w:tcPr>
          <w:p w:rsidR="006E0198" w:rsidRDefault="007F6EAE">
            <w:pPr>
              <w:spacing w:after="0" w:line="240" w:lineRule="auto"/>
              <w:jc w:val="center"/>
              <w:rPr>
                <w:rFonts w:ascii="Book Antiqua" w:eastAsia="Arial Unicode MS" w:hAnsi="Book Antiqua" w:cs="Book Antiqua"/>
                <w:sz w:val="24"/>
                <w:szCs w:val="24"/>
              </w:rPr>
            </w:pPr>
            <w:r>
              <w:rPr>
                <w:rFonts w:ascii="Book Antiqua" w:eastAsia="Arial Unicode MS" w:hAnsi="Book Antiqua" w:cs="Book Antiqua"/>
                <w:sz w:val="24"/>
                <w:szCs w:val="24"/>
              </w:rPr>
              <w:t>9</w:t>
            </w:r>
          </w:p>
        </w:tc>
        <w:tc>
          <w:tcPr>
            <w:tcW w:w="2977" w:type="dxa"/>
          </w:tcPr>
          <w:p w:rsidR="006E0198" w:rsidRDefault="007F6EAE">
            <w:pPr>
              <w:spacing w:after="0" w:line="240" w:lineRule="auto"/>
              <w:jc w:val="center"/>
              <w:rPr>
                <w:rFonts w:ascii="Book Antiqua" w:eastAsia="Arial Unicode MS" w:hAnsi="Book Antiqua" w:cs="Book Antiqua"/>
                <w:sz w:val="24"/>
                <w:szCs w:val="24"/>
              </w:rPr>
            </w:pPr>
            <w:r>
              <w:rPr>
                <w:rFonts w:ascii="Book Antiqua" w:eastAsia="Arial Unicode MS" w:hAnsi="Book Antiqua" w:cs="Book Antiqua"/>
                <w:sz w:val="24"/>
                <w:szCs w:val="24"/>
              </w:rPr>
              <w:t>Parole</w:t>
            </w:r>
          </w:p>
        </w:tc>
      </w:tr>
      <w:tr w:rsidR="006E0198">
        <w:trPr>
          <w:jc w:val="center"/>
        </w:trPr>
        <w:tc>
          <w:tcPr>
            <w:tcW w:w="2268" w:type="dxa"/>
          </w:tcPr>
          <w:p w:rsidR="006E0198" w:rsidRDefault="007F6EAE">
            <w:pPr>
              <w:spacing w:after="0" w:line="240" w:lineRule="auto"/>
              <w:jc w:val="center"/>
              <w:rPr>
                <w:rFonts w:ascii="Book Antiqua" w:eastAsia="Arial Unicode MS" w:hAnsi="Book Antiqua" w:cs="Book Antiqua"/>
                <w:sz w:val="24"/>
                <w:szCs w:val="24"/>
              </w:rPr>
            </w:pPr>
            <w:r>
              <w:rPr>
                <w:rFonts w:ascii="Book Antiqua" w:eastAsia="Arial Unicode MS" w:hAnsi="Book Antiqua" w:cs="Book Antiqua"/>
                <w:sz w:val="24"/>
                <w:szCs w:val="24"/>
              </w:rPr>
              <w:t>2020</w:t>
            </w:r>
          </w:p>
        </w:tc>
        <w:tc>
          <w:tcPr>
            <w:tcW w:w="2551" w:type="dxa"/>
          </w:tcPr>
          <w:p w:rsidR="006E0198" w:rsidRDefault="007F6EAE">
            <w:pPr>
              <w:spacing w:after="0" w:line="240" w:lineRule="auto"/>
              <w:jc w:val="center"/>
              <w:rPr>
                <w:rFonts w:ascii="Book Antiqua" w:eastAsia="Arial Unicode MS" w:hAnsi="Book Antiqua" w:cs="Book Antiqua"/>
                <w:sz w:val="24"/>
                <w:szCs w:val="24"/>
              </w:rPr>
            </w:pPr>
            <w:r>
              <w:rPr>
                <w:rFonts w:ascii="Book Antiqua" w:eastAsia="Arial Unicode MS" w:hAnsi="Book Antiqua" w:cs="Book Antiqua"/>
                <w:sz w:val="24"/>
                <w:szCs w:val="24"/>
              </w:rPr>
              <w:t>1</w:t>
            </w:r>
          </w:p>
        </w:tc>
        <w:tc>
          <w:tcPr>
            <w:tcW w:w="2977" w:type="dxa"/>
          </w:tcPr>
          <w:p w:rsidR="006E0198" w:rsidRDefault="007F6EAE">
            <w:pPr>
              <w:spacing w:after="0" w:line="240" w:lineRule="auto"/>
              <w:jc w:val="center"/>
              <w:rPr>
                <w:rFonts w:ascii="Book Antiqua" w:eastAsia="Arial Unicode MS" w:hAnsi="Book Antiqua" w:cs="Book Antiqua"/>
                <w:sz w:val="24"/>
                <w:szCs w:val="24"/>
              </w:rPr>
            </w:pPr>
            <w:r>
              <w:rPr>
                <w:rFonts w:ascii="Book Antiqua" w:eastAsia="Arial Unicode MS" w:hAnsi="Book Antiqua" w:cs="Book Antiqua"/>
                <w:sz w:val="24"/>
                <w:szCs w:val="24"/>
              </w:rPr>
              <w:t>Conditional Leave</w:t>
            </w:r>
          </w:p>
        </w:tc>
      </w:tr>
      <w:tr w:rsidR="006E0198">
        <w:trPr>
          <w:jc w:val="center"/>
        </w:trPr>
        <w:tc>
          <w:tcPr>
            <w:tcW w:w="2268" w:type="dxa"/>
            <w:tcBorders>
              <w:bottom w:val="single" w:sz="4" w:space="0" w:color="000000"/>
            </w:tcBorders>
          </w:tcPr>
          <w:p w:rsidR="006E0198" w:rsidRDefault="007F6EAE">
            <w:pPr>
              <w:spacing w:after="0" w:line="240" w:lineRule="auto"/>
              <w:jc w:val="center"/>
              <w:rPr>
                <w:rFonts w:ascii="Book Antiqua" w:eastAsia="Arial Unicode MS" w:hAnsi="Book Antiqua" w:cs="Book Antiqua"/>
                <w:sz w:val="24"/>
                <w:szCs w:val="24"/>
              </w:rPr>
            </w:pPr>
            <w:r>
              <w:rPr>
                <w:rFonts w:ascii="Book Antiqua" w:eastAsia="Arial Unicode MS" w:hAnsi="Book Antiqua" w:cs="Book Antiqua"/>
                <w:sz w:val="24"/>
                <w:szCs w:val="24"/>
              </w:rPr>
              <w:t>2021</w:t>
            </w:r>
          </w:p>
        </w:tc>
        <w:tc>
          <w:tcPr>
            <w:tcW w:w="2551" w:type="dxa"/>
            <w:tcBorders>
              <w:bottom w:val="single" w:sz="4" w:space="0" w:color="000000"/>
            </w:tcBorders>
          </w:tcPr>
          <w:p w:rsidR="006E0198" w:rsidRDefault="007F6EAE">
            <w:pPr>
              <w:spacing w:after="0" w:line="240" w:lineRule="auto"/>
              <w:jc w:val="center"/>
              <w:rPr>
                <w:rFonts w:ascii="Book Antiqua" w:eastAsia="Arial Unicode MS" w:hAnsi="Book Antiqua" w:cs="Book Antiqua"/>
                <w:sz w:val="24"/>
                <w:szCs w:val="24"/>
              </w:rPr>
            </w:pPr>
            <w:r>
              <w:rPr>
                <w:rFonts w:ascii="Book Antiqua" w:eastAsia="Arial Unicode MS" w:hAnsi="Book Antiqua" w:cs="Book Antiqua"/>
                <w:sz w:val="24"/>
                <w:szCs w:val="24"/>
              </w:rPr>
              <w:t>1</w:t>
            </w:r>
          </w:p>
        </w:tc>
        <w:tc>
          <w:tcPr>
            <w:tcW w:w="2977" w:type="dxa"/>
            <w:tcBorders>
              <w:bottom w:val="single" w:sz="4" w:space="0" w:color="000000"/>
            </w:tcBorders>
          </w:tcPr>
          <w:p w:rsidR="006E0198" w:rsidRDefault="007F6EAE">
            <w:pPr>
              <w:spacing w:after="0" w:line="240" w:lineRule="auto"/>
              <w:jc w:val="center"/>
              <w:rPr>
                <w:rFonts w:ascii="Book Antiqua" w:eastAsia="Arial Unicode MS" w:hAnsi="Book Antiqua" w:cs="Book Antiqua"/>
                <w:sz w:val="24"/>
                <w:szCs w:val="24"/>
              </w:rPr>
            </w:pPr>
            <w:r>
              <w:rPr>
                <w:rFonts w:ascii="Book Antiqua" w:eastAsia="Arial Unicode MS" w:hAnsi="Book Antiqua" w:cs="Book Antiqua"/>
                <w:sz w:val="24"/>
                <w:szCs w:val="24"/>
              </w:rPr>
              <w:t>Home Assimilation</w:t>
            </w:r>
          </w:p>
        </w:tc>
      </w:tr>
    </w:tbl>
    <w:p w:rsidR="006E0198" w:rsidRDefault="007F6EAE">
      <w:pPr>
        <w:pStyle w:val="ListParagraph"/>
        <w:spacing w:line="240" w:lineRule="auto"/>
        <w:ind w:left="567"/>
        <w:jc w:val="both"/>
      </w:pPr>
      <w:r>
        <w:rPr>
          <w:rFonts w:ascii="Book Antiqua" w:hAnsi="Book Antiqua" w:cs="Book Antiqua"/>
          <w:b/>
          <w:bCs/>
          <w:i/>
          <w:iCs/>
          <w:sz w:val="24"/>
          <w:szCs w:val="24"/>
        </w:rPr>
        <w:t>Sumbee: LPKA Class II A Gorontalo, 2022</w:t>
      </w:r>
    </w:p>
    <w:p w:rsidR="006E0198" w:rsidRDefault="007F6EAE">
      <w:pPr>
        <w:spacing w:line="240" w:lineRule="auto"/>
        <w:jc w:val="both"/>
        <w:rPr>
          <w:rFonts w:ascii="Book Antiqua" w:hAnsi="Book Antiqua" w:cs="Book Antiqua"/>
          <w:sz w:val="24"/>
          <w:szCs w:val="24"/>
        </w:rPr>
      </w:pPr>
      <w:r>
        <w:rPr>
          <w:rFonts w:ascii="Book Antiqua" w:hAnsi="Book Antiqua" w:cs="Book Antiqua"/>
          <w:sz w:val="24"/>
          <w:szCs w:val="24"/>
          <w:lang w:val="id-ID"/>
        </w:rPr>
        <w:t>From the table data above obtained from the Child Special Guidance Institute (LPKA) in 2020, it is explained that there are 11 correctional students who have the right of home assimilation. In 2020, it was explained that there was 1 correctional student who received conditional leave and there were 9 correctional students who received parole at the Gorontalo Child Special Guidance Institute (LPKA). And then in 2021 there is 1 correctional student who gets home assimilation. Meanwhile, there are no correctional students who get parole, conditional leave and leave before being released in 2021.</w:t>
      </w:r>
    </w:p>
    <w:p w:rsidR="006E0198" w:rsidRDefault="007F6EAE">
      <w:pPr>
        <w:spacing w:line="240" w:lineRule="auto"/>
        <w:jc w:val="both"/>
        <w:rPr>
          <w:rFonts w:ascii="Book Antiqua" w:hAnsi="Book Antiqua" w:cs="Book Antiqua"/>
          <w:sz w:val="24"/>
          <w:szCs w:val="24"/>
        </w:rPr>
      </w:pPr>
      <w:r>
        <w:rPr>
          <w:rFonts w:ascii="Book Antiqua" w:hAnsi="Book Antiqua" w:cs="Book Antiqua"/>
          <w:sz w:val="24"/>
          <w:szCs w:val="24"/>
        </w:rPr>
        <w:t>Government policies regulated in the Regulation of the Minister of Law and Human Rights of the Republic of Indonesia Number 32 of 2020 concerning Terms and Procedures for Granting Assimilation, Conditional Release, Leave Before Release, and Conditional Leave for Convicts and Children in the Context of Prevention and Control of the Spread of Covid-19, Based on Article 2 it is explained that:</w:t>
      </w:r>
    </w:p>
    <w:p w:rsidR="006E0198" w:rsidRDefault="007F6EAE">
      <w:pPr>
        <w:pStyle w:val="ListParagraph"/>
        <w:numPr>
          <w:ilvl w:val="0"/>
          <w:numId w:val="4"/>
        </w:numPr>
        <w:tabs>
          <w:tab w:val="left" w:pos="284"/>
        </w:tabs>
        <w:spacing w:line="240" w:lineRule="auto"/>
        <w:jc w:val="both"/>
        <w:rPr>
          <w:rFonts w:ascii="Book Antiqua" w:hAnsi="Book Antiqua" w:cs="Book Antiqua"/>
          <w:sz w:val="24"/>
          <w:szCs w:val="24"/>
        </w:rPr>
      </w:pPr>
      <w:r>
        <w:rPr>
          <w:rFonts w:ascii="Book Antiqua" w:hAnsi="Book Antiqua" w:cs="Book Antiqua"/>
          <w:sz w:val="24"/>
          <w:szCs w:val="24"/>
        </w:rPr>
        <w:t>In the context of preventing and overcoming COVID-19, prisoners and children can be given assimilation.</w:t>
      </w:r>
    </w:p>
    <w:p w:rsidR="006E0198" w:rsidRDefault="007F6EAE">
      <w:pPr>
        <w:pStyle w:val="ListParagraph"/>
        <w:numPr>
          <w:ilvl w:val="0"/>
          <w:numId w:val="4"/>
        </w:numPr>
        <w:tabs>
          <w:tab w:val="left" w:pos="284"/>
        </w:tabs>
        <w:spacing w:line="240" w:lineRule="auto"/>
        <w:jc w:val="both"/>
        <w:rPr>
          <w:rFonts w:ascii="Book Antiqua" w:hAnsi="Book Antiqua" w:cs="Book Antiqua"/>
          <w:sz w:val="24"/>
          <w:szCs w:val="24"/>
        </w:rPr>
      </w:pPr>
      <w:r>
        <w:rPr>
          <w:rFonts w:ascii="Book Antiqua" w:hAnsi="Book Antiqua" w:cs="Book Antiqua"/>
          <w:sz w:val="24"/>
          <w:szCs w:val="24"/>
        </w:rPr>
        <w:lastRenderedPageBreak/>
        <w:t>The assimilation as referred to in paragraph (1) is carried out at home with the guidance and supervision of the Fathers and Community Service Centers and may involve Pokmas.</w:t>
      </w:r>
    </w:p>
    <w:p w:rsidR="006E0198" w:rsidRDefault="007F6EAE">
      <w:pPr>
        <w:spacing w:line="240" w:lineRule="auto"/>
        <w:jc w:val="both"/>
      </w:pPr>
      <w:r>
        <w:rPr>
          <w:rFonts w:ascii="Book Antiqua" w:hAnsi="Book Antiqua" w:cs="Book Antiqua"/>
          <w:sz w:val="24"/>
          <w:szCs w:val="24"/>
        </w:rPr>
        <w:t>Based on Article 17 in terms of granting parole, leave before release, and conditional leave for prisoners and children in the context of preventing and overcoming COVID-19, it is explained that:</w:t>
      </w:r>
    </w:p>
    <w:p w:rsidR="006E0198" w:rsidRDefault="007F6EAE">
      <w:pPr>
        <w:pStyle w:val="ListParagraph"/>
        <w:numPr>
          <w:ilvl w:val="0"/>
          <w:numId w:val="5"/>
        </w:numPr>
        <w:spacing w:line="240" w:lineRule="auto"/>
        <w:ind w:left="709"/>
        <w:jc w:val="both"/>
      </w:pPr>
      <w:r>
        <w:rPr>
          <w:rFonts w:ascii="Book Antiqua" w:hAnsi="Book Antiqua" w:cs="Book Antiqua"/>
          <w:sz w:val="24"/>
          <w:szCs w:val="24"/>
        </w:rPr>
        <w:t>In the context of preventing and overcoming COVID-19, prisoners and children may be granted parole, leave before release, and conditional leave.</w:t>
      </w:r>
    </w:p>
    <w:p w:rsidR="006E0198" w:rsidRDefault="007F6EAE">
      <w:pPr>
        <w:pStyle w:val="ListParagraph"/>
        <w:numPr>
          <w:ilvl w:val="0"/>
          <w:numId w:val="5"/>
        </w:numPr>
        <w:spacing w:line="240" w:lineRule="auto"/>
        <w:ind w:left="709"/>
        <w:jc w:val="both"/>
        <w:rPr>
          <w:rFonts w:ascii="Book Antiqua" w:hAnsi="Book Antiqua" w:cs="Book Antiqua"/>
          <w:sz w:val="24"/>
          <w:szCs w:val="24"/>
        </w:rPr>
      </w:pPr>
      <w:r>
        <w:rPr>
          <w:rFonts w:ascii="Book Antiqua" w:hAnsi="Book Antiqua" w:cs="Book Antiqua"/>
          <w:sz w:val="24"/>
          <w:szCs w:val="24"/>
        </w:rPr>
        <w:t>Conditional release, leave prior to release, and conditional leave as referred to in paragraph (1) shall be carried out through guidance and supervision by the Fathers and Attorney General's Office and may involve Pokmas.</w:t>
      </w:r>
    </w:p>
    <w:p w:rsidR="006E0198" w:rsidRDefault="007F6EAE">
      <w:pPr>
        <w:spacing w:line="240" w:lineRule="auto"/>
        <w:jc w:val="both"/>
        <w:rPr>
          <w:rFonts w:ascii="Book Antiqua" w:hAnsi="Book Antiqua" w:cs="Calibri Light"/>
          <w:sz w:val="24"/>
          <w:szCs w:val="24"/>
          <w:lang w:val="id-ID" w:eastAsia="en-US"/>
        </w:rPr>
      </w:pPr>
      <w:r>
        <w:rPr>
          <w:rFonts w:ascii="Book Antiqua" w:hAnsi="Book Antiqua" w:cs="Book Antiqua"/>
          <w:sz w:val="24"/>
          <w:szCs w:val="24"/>
        </w:rPr>
        <w:t>The number of Correctional Students (ADP) in the Gorontalo Child Special Guidance Institution (LPKA) is 26 students but in 2021 in terms of granting Home Assimilation Rights as stated in the Law and Human Rights Government Regulation policy instead of Assimilation only given to 1 only students and the granting of Integration Rights is not given to students and this is what makes researchers interested in researching them.</w:t>
      </w:r>
    </w:p>
    <w:p w:rsidR="006E0198" w:rsidRDefault="007F6EAE">
      <w:pPr>
        <w:pStyle w:val="ListParagraph"/>
        <w:numPr>
          <w:ilvl w:val="0"/>
          <w:numId w:val="7"/>
        </w:numPr>
        <w:spacing w:line="240" w:lineRule="auto"/>
        <w:rPr>
          <w:rFonts w:ascii="Book Antiqua" w:eastAsia="Arial Unicode MS" w:hAnsi="Book Antiqua" w:cs="Calibri Light"/>
          <w:b/>
          <w:sz w:val="28"/>
          <w:lang w:val="id-ID" w:eastAsia="en-US"/>
        </w:rPr>
      </w:pPr>
      <w:r>
        <w:rPr>
          <w:rFonts w:ascii="Book Antiqua" w:eastAsia="Arial Unicode MS" w:hAnsi="Book Antiqua" w:cs="Calibri Light"/>
          <w:b/>
          <w:sz w:val="28"/>
          <w:lang w:val="id-ID" w:eastAsia="en-US"/>
        </w:rPr>
        <w:t>Research methods</w:t>
      </w:r>
    </w:p>
    <w:p w:rsidR="006E0198" w:rsidRDefault="007F6EAE">
      <w:pPr>
        <w:spacing w:line="240" w:lineRule="auto"/>
        <w:ind w:firstLine="360"/>
        <w:jc w:val="both"/>
        <w:rPr>
          <w:rFonts w:ascii="Book Antiqua" w:hAnsi="Book Antiqua" w:cs="Book Antiqua"/>
          <w:sz w:val="24"/>
          <w:szCs w:val="24"/>
          <w:lang w:val="id-ID" w:eastAsia="en-US"/>
        </w:rPr>
      </w:pPr>
      <w:r>
        <w:rPr>
          <w:rFonts w:ascii="Book Antiqua" w:hAnsi="Book Antiqua" w:cs="Book Antiqua"/>
          <w:sz w:val="24"/>
          <w:szCs w:val="24"/>
          <w:lang w:val="id-ID" w:eastAsia="en-US"/>
        </w:rPr>
        <w:t>The research method used by the researcher is using empirical research methods, where Mukti Fajar said that empirical research is a study of phenomena that occur in the social environment, examining factual events that occur in the field.</w:t>
      </w:r>
      <w:r>
        <w:rPr>
          <w:rStyle w:val="FootnoteAnchor"/>
          <w:rFonts w:ascii="Book Antiqua" w:hAnsi="Book Antiqua" w:cs="Book Antiqua"/>
          <w:sz w:val="24"/>
          <w:szCs w:val="24"/>
          <w:lang w:val="id-ID" w:eastAsia="en-US"/>
        </w:rPr>
        <w:footnoteReference w:id="24"/>
      </w:r>
      <w:r>
        <w:rPr>
          <w:rFonts w:ascii="Book Antiqua" w:hAnsi="Book Antiqua" w:cs="Book Antiqua"/>
          <w:sz w:val="24"/>
          <w:szCs w:val="24"/>
          <w:lang w:val="id-ID" w:eastAsia="en-US"/>
        </w:rPr>
        <w:t>The sampling used purposive sampling. This study also uses a qualitative approach and descriptive analysis techniques.</w:t>
      </w:r>
    </w:p>
    <w:p w:rsidR="006E0198" w:rsidRDefault="007F6EAE">
      <w:pPr>
        <w:pStyle w:val="ListParagraph"/>
        <w:numPr>
          <w:ilvl w:val="0"/>
          <w:numId w:val="7"/>
        </w:numPr>
        <w:spacing w:before="240" w:line="240" w:lineRule="auto"/>
        <w:jc w:val="both"/>
        <w:rPr>
          <w:rFonts w:ascii="Book Antiqua" w:hAnsi="Book Antiqua" w:cs="Book Antiqua"/>
          <w:b/>
          <w:bCs/>
          <w:sz w:val="28"/>
          <w:lang w:val="id-ID" w:eastAsia="en-US"/>
        </w:rPr>
      </w:pPr>
      <w:r>
        <w:rPr>
          <w:rFonts w:ascii="Book Antiqua" w:hAnsi="Book Antiqua" w:cs="Book Antiqua"/>
          <w:b/>
          <w:bCs/>
          <w:sz w:val="28"/>
        </w:rPr>
        <w:t>Barriers to the Implementation of Fulfillment of Assimilation and Integration Rights to Children in Correctional Institutions</w:t>
      </w:r>
    </w:p>
    <w:p w:rsidR="006E0198" w:rsidRDefault="007F6EAE">
      <w:pPr>
        <w:spacing w:line="240" w:lineRule="auto"/>
        <w:jc w:val="both"/>
        <w:rPr>
          <w:rFonts w:ascii="Book Antiqua" w:hAnsi="Book Antiqua" w:cs="Book Antiqua"/>
          <w:sz w:val="24"/>
          <w:szCs w:val="24"/>
          <w:lang w:val="id-ID"/>
        </w:rPr>
      </w:pPr>
      <w:r>
        <w:rPr>
          <w:rFonts w:ascii="Book Antiqua" w:hAnsi="Book Antiqua" w:cs="Book Antiqua"/>
          <w:sz w:val="24"/>
          <w:szCs w:val="24"/>
          <w:lang w:val="id-ID"/>
        </w:rPr>
        <w:t>The law can effectively carry out its function to protect the rights inherent in everyone, if enforced, in other words, legal protection is that everyone's rights can be fulfilled if the law enforcement process is carried out, because the degree of legal compliance depends on the law-making process.</w:t>
      </w:r>
      <w:r>
        <w:rPr>
          <w:rStyle w:val="FootnoteAnchor"/>
          <w:rFonts w:ascii="Book Antiqua" w:hAnsi="Book Antiqua" w:cs="Book Antiqua"/>
          <w:sz w:val="24"/>
          <w:szCs w:val="24"/>
        </w:rPr>
        <w:footnoteReference w:id="25"/>
      </w:r>
    </w:p>
    <w:p w:rsidR="006E0198" w:rsidRDefault="007F6EAE">
      <w:pPr>
        <w:spacing w:line="240" w:lineRule="auto"/>
        <w:jc w:val="both"/>
        <w:rPr>
          <w:rFonts w:ascii="Book Antiqua" w:hAnsi="Book Antiqua" w:cs="Book Antiqua"/>
          <w:sz w:val="24"/>
          <w:szCs w:val="24"/>
          <w:vertAlign w:val="superscript"/>
          <w:lang w:val="id-ID" w:eastAsia="en-US"/>
        </w:rPr>
      </w:pPr>
      <w:r>
        <w:rPr>
          <w:rFonts w:ascii="Book Antiqua" w:hAnsi="Book Antiqua" w:cs="Book Antiqua"/>
          <w:sz w:val="24"/>
          <w:szCs w:val="24"/>
          <w:lang w:val="id-ID"/>
        </w:rPr>
        <w:lastRenderedPageBreak/>
        <w:t>In the author's opinion, in providing a policy to fulfill the rights of assimilation and integration rights in the midst of the covid-19 pandemic for these correctional students, it is felt that it is not without a mature balance, because when viewed from the condition of the special coaching institution for children who have fulfilled overcapacity, it is very impossible to The transmission of the covid-19 virus between fellow correctional students becomes very easy and is a challenge for the government and every special child development institution. In the midst of the COVID-19 pandemic, all correctional facilities are at risk. The problem is that in addition to many prisons that are unfit for habitation due to the lack of facilities and health education, excess capacity also makes social distancing policies impossible to implement. The release of prisoners and correctional students is expected to prevent and overcome the spread of the Covid-19 virus in Correctional Institutions and Detention Centers as well as the Special Child Development Institute (LPKA) in Indonesia which incidentally has excess occupants, which is still reaping controversy in the community. Because it is not uncommon for those who have been released to repeat their unlawful acts.</w:t>
      </w:r>
    </w:p>
    <w:p w:rsidR="006E0198" w:rsidRDefault="007F6EAE">
      <w:pPr>
        <w:spacing w:line="240" w:lineRule="auto"/>
        <w:jc w:val="both"/>
        <w:rPr>
          <w:rFonts w:ascii="Book Antiqua" w:hAnsi="Book Antiqua" w:cs="Book Antiqua"/>
          <w:sz w:val="24"/>
          <w:szCs w:val="24"/>
          <w:lang w:val="id-ID"/>
        </w:rPr>
      </w:pPr>
      <w:r>
        <w:rPr>
          <w:rFonts w:ascii="Book Antiqua" w:hAnsi="Book Antiqua" w:cs="Book Antiqua"/>
          <w:sz w:val="24"/>
          <w:szCs w:val="24"/>
          <w:lang w:val="id-ID"/>
        </w:rPr>
        <w:t>According to a sociologist from Sebelas Maret University (UNS) Surakarta, Drajat Tri Kartono, explaining that there are several possibilities why prisoners and correctional students who have been assimilated and integrated during the COVID-19 pandemic have again committed acts against the law, namely as follows:</w:t>
      </w:r>
      <w:r>
        <w:rPr>
          <w:rStyle w:val="FootnoteAnchor"/>
          <w:rFonts w:ascii="Book Antiqua" w:hAnsi="Book Antiqua" w:cs="Book Antiqua"/>
          <w:sz w:val="24"/>
          <w:szCs w:val="24"/>
          <w:lang w:val="id-ID"/>
        </w:rPr>
        <w:footnoteReference w:id="26"/>
      </w:r>
    </w:p>
    <w:p w:rsidR="006E0198" w:rsidRDefault="007F6EAE">
      <w:pPr>
        <w:pStyle w:val="ListParagraph"/>
        <w:numPr>
          <w:ilvl w:val="0"/>
          <w:numId w:val="2"/>
        </w:numPr>
        <w:spacing w:line="240" w:lineRule="auto"/>
        <w:ind w:left="284" w:firstLine="0"/>
        <w:jc w:val="both"/>
        <w:rPr>
          <w:rFonts w:ascii="Book Antiqua" w:hAnsi="Book Antiqua" w:cs="Book Antiqua"/>
          <w:sz w:val="24"/>
          <w:szCs w:val="24"/>
        </w:rPr>
      </w:pPr>
      <w:r>
        <w:rPr>
          <w:rFonts w:ascii="Book Antiqua" w:hAnsi="Book Antiqua" w:cs="Book Antiqua"/>
          <w:sz w:val="24"/>
          <w:szCs w:val="24"/>
        </w:rPr>
        <w:t>No deterrent effect</w:t>
      </w:r>
    </w:p>
    <w:p w:rsidR="006E0198" w:rsidRDefault="007F6EAE">
      <w:pPr>
        <w:pStyle w:val="ListParagraph"/>
        <w:spacing w:line="240" w:lineRule="auto"/>
        <w:ind w:left="709"/>
        <w:jc w:val="both"/>
        <w:rPr>
          <w:rFonts w:ascii="Book Antiqua" w:hAnsi="Book Antiqua" w:cs="Book Antiqua"/>
          <w:sz w:val="24"/>
          <w:szCs w:val="24"/>
          <w:lang w:val="id-ID"/>
        </w:rPr>
      </w:pPr>
      <w:r>
        <w:rPr>
          <w:rFonts w:ascii="Book Antiqua" w:hAnsi="Book Antiqua" w:cs="Book Antiqua"/>
          <w:sz w:val="24"/>
          <w:szCs w:val="24"/>
        </w:rPr>
        <w:t>Punishment is basically used to make perpetrators or violators of the law experience repressive means being suppressed, ostracized, and kept away from family, friends, and the outside world so that they are deterred. Such punishment to several prisoners and correctional students did not deter him. Because it could be that the punishment was not difficult for prisoners and correctional students. When prisoners and correctional students are in correctional institutions and special fostering institutions there are children who can get along well, get regular meals, and other things that actually make their lives easier. So that prisoners and correctional students feel at home in correctional institutions and special child development institutions and do not feel deterred.</w:t>
      </w:r>
    </w:p>
    <w:p w:rsidR="006E0198" w:rsidRDefault="007F6EAE">
      <w:pPr>
        <w:pStyle w:val="ListParagraph"/>
        <w:numPr>
          <w:ilvl w:val="0"/>
          <w:numId w:val="2"/>
        </w:numPr>
        <w:spacing w:line="240" w:lineRule="auto"/>
        <w:ind w:left="284" w:firstLine="0"/>
        <w:jc w:val="both"/>
        <w:rPr>
          <w:rFonts w:ascii="Book Antiqua" w:hAnsi="Book Antiqua" w:cs="Book Antiqua"/>
          <w:sz w:val="24"/>
          <w:szCs w:val="24"/>
        </w:rPr>
      </w:pPr>
      <w:r>
        <w:rPr>
          <w:rFonts w:ascii="Book Antiqua" w:hAnsi="Book Antiqua" w:cs="Book Antiqua"/>
          <w:sz w:val="24"/>
          <w:szCs w:val="24"/>
        </w:rPr>
        <w:t>Minimal preparation</w:t>
      </w:r>
    </w:p>
    <w:p w:rsidR="006E0198" w:rsidRDefault="007F6EAE">
      <w:pPr>
        <w:pStyle w:val="ListParagraph"/>
        <w:spacing w:line="240" w:lineRule="auto"/>
        <w:ind w:left="709"/>
        <w:jc w:val="both"/>
      </w:pPr>
      <w:r>
        <w:rPr>
          <w:rFonts w:ascii="Book Antiqua" w:hAnsi="Book Antiqua" w:cs="Book Antiqua"/>
          <w:sz w:val="24"/>
          <w:szCs w:val="24"/>
        </w:rPr>
        <w:tab/>
        <w:t xml:space="preserve">Usually before prisoners and correctional students are released, there is a moderation process to prepare them to adapt to the world or prisons, what is meant by correctional is that they return to society, so they must follow the norms that exist in society. The process is mediated by correctional </w:t>
      </w:r>
      <w:r>
        <w:rPr>
          <w:rFonts w:ascii="Book Antiqua" w:hAnsi="Book Antiqua" w:cs="Book Antiqua"/>
          <w:sz w:val="24"/>
          <w:szCs w:val="24"/>
        </w:rPr>
        <w:lastRenderedPageBreak/>
        <w:t>institutions and special child development institutions. The function of correctional institutions and special children's development institutions is to educate, train, and not only be repressive but also prepare prisoners and correctional students when they come out later. The preparations include educational, legal, cultural, mental and spiritual aspects. When prisoners and correctional students come out with incomplete preparations, the result is that they do not experience compliance outside.</w:t>
      </w:r>
    </w:p>
    <w:p w:rsidR="006E0198" w:rsidRDefault="007F6EAE">
      <w:pPr>
        <w:pStyle w:val="ListParagraph"/>
        <w:numPr>
          <w:ilvl w:val="0"/>
          <w:numId w:val="2"/>
        </w:numPr>
        <w:spacing w:line="240" w:lineRule="auto"/>
        <w:ind w:left="284" w:firstLine="0"/>
        <w:jc w:val="both"/>
        <w:rPr>
          <w:rFonts w:ascii="Book Antiqua" w:hAnsi="Book Antiqua" w:cs="Book Antiqua"/>
          <w:sz w:val="24"/>
          <w:szCs w:val="24"/>
        </w:rPr>
      </w:pPr>
      <w:r>
        <w:rPr>
          <w:rFonts w:ascii="Book Antiqua" w:hAnsi="Book Antiqua" w:cs="Book Antiqua"/>
          <w:sz w:val="24"/>
          <w:szCs w:val="24"/>
        </w:rPr>
        <w:t>Congenital or inherent trait</w:t>
      </w:r>
    </w:p>
    <w:p w:rsidR="006E0198" w:rsidRDefault="007F6EAE">
      <w:pPr>
        <w:pStyle w:val="ListParagraph"/>
        <w:spacing w:line="240" w:lineRule="auto"/>
        <w:ind w:left="709"/>
        <w:jc w:val="both"/>
      </w:pPr>
      <w:r>
        <w:rPr>
          <w:rFonts w:ascii="Book Antiqua" w:hAnsi="Book Antiqua" w:cs="Book Antiqua"/>
          <w:sz w:val="24"/>
          <w:szCs w:val="24"/>
        </w:rPr>
        <w:tab/>
        <w:t>Apart from the things that have been explained above, being prisoners and correctional students are not deterred because they are already</w:t>
      </w:r>
      <w:r>
        <w:rPr>
          <w:rFonts w:ascii="Book Antiqua" w:hAnsi="Book Antiqua" w:cs="Book Antiqua"/>
          <w:i/>
          <w:sz w:val="24"/>
          <w:szCs w:val="24"/>
        </w:rPr>
        <w:t>traits</w:t>
      </w:r>
      <w:r>
        <w:rPr>
          <w:rFonts w:ascii="Book Antiqua" w:hAnsi="Book Antiqua" w:cs="Book Antiqua"/>
          <w:sz w:val="24"/>
          <w:szCs w:val="24"/>
        </w:rPr>
        <w:t>or traits or traits that are socially and individually owned. Individually, it means that these traits have been attached to him, while socially it means that prisoners and correctional students can be affected by the surrounding environment.</w:t>
      </w:r>
    </w:p>
    <w:p w:rsidR="006E0198" w:rsidRDefault="007F6EAE">
      <w:pPr>
        <w:spacing w:line="240" w:lineRule="auto"/>
        <w:jc w:val="both"/>
        <w:rPr>
          <w:rFonts w:ascii="Book Antiqua" w:hAnsi="Book Antiqua" w:cs="Book Antiqua"/>
          <w:sz w:val="24"/>
          <w:szCs w:val="24"/>
        </w:rPr>
      </w:pPr>
      <w:r>
        <w:rPr>
          <w:rFonts w:ascii="Book Antiqua" w:hAnsi="Book Antiqua" w:cs="Book Antiqua"/>
          <w:sz w:val="24"/>
          <w:szCs w:val="24"/>
        </w:rPr>
        <w:t>Based on the results of the researcher's interview with Mr. Irfan Hamim as Head of the Education and Community Guidance Subsection of the Class II A Gorontalo Child Special Guidance Institute, he is of the opinion that there are two factors that hinder the fulfillment of the right of assimilation and the right of integration for correctional students, namely:</w:t>
      </w:r>
      <w:r>
        <w:rPr>
          <w:rStyle w:val="FootnoteAnchor"/>
          <w:rFonts w:ascii="Book Antiqua" w:hAnsi="Book Antiqua" w:cs="Book Antiqua"/>
          <w:sz w:val="24"/>
          <w:szCs w:val="24"/>
        </w:rPr>
        <w:footnoteReference w:id="27"/>
      </w:r>
    </w:p>
    <w:p w:rsidR="006E0198" w:rsidRDefault="007F6EAE">
      <w:pPr>
        <w:pStyle w:val="ListParagraph"/>
        <w:numPr>
          <w:ilvl w:val="0"/>
          <w:numId w:val="6"/>
        </w:numPr>
        <w:spacing w:line="240" w:lineRule="auto"/>
        <w:ind w:left="284" w:firstLine="0"/>
        <w:jc w:val="both"/>
        <w:rPr>
          <w:rFonts w:ascii="Book Antiqua" w:hAnsi="Book Antiqua" w:cs="Book Antiqua"/>
          <w:sz w:val="24"/>
          <w:szCs w:val="24"/>
        </w:rPr>
      </w:pPr>
      <w:r>
        <w:rPr>
          <w:rFonts w:ascii="Book Antiqua" w:hAnsi="Book Antiqua" w:cs="Book Antiqua"/>
          <w:sz w:val="24"/>
          <w:szCs w:val="24"/>
        </w:rPr>
        <w:t>There is no guarantor from the correctional students</w:t>
      </w:r>
    </w:p>
    <w:p w:rsidR="006E0198" w:rsidRDefault="007F6EAE">
      <w:pPr>
        <w:pStyle w:val="ListParagraph"/>
        <w:spacing w:line="240" w:lineRule="auto"/>
        <w:ind w:left="709"/>
        <w:jc w:val="both"/>
      </w:pPr>
      <w:r>
        <w:rPr>
          <w:rFonts w:ascii="Book Antiqua" w:hAnsi="Book Antiqua" w:cs="Book Antiqua"/>
          <w:sz w:val="24"/>
          <w:szCs w:val="24"/>
        </w:rPr>
        <w:tab/>
        <w:t>The guarantor is a family or people known to the correctional protégé. In the case of being a guarantor for correctional students, the guarantor must also meet the requirements set out in the rules in LPKA.</w:t>
      </w:r>
    </w:p>
    <w:p w:rsidR="006E0198" w:rsidRDefault="007F6EAE">
      <w:pPr>
        <w:pStyle w:val="ListParagraph"/>
        <w:spacing w:line="240" w:lineRule="auto"/>
        <w:ind w:left="709"/>
        <w:jc w:val="both"/>
        <w:rPr>
          <w:rFonts w:ascii="Book Antiqua" w:hAnsi="Book Antiqua" w:cs="Book Antiqua"/>
          <w:sz w:val="24"/>
          <w:szCs w:val="24"/>
          <w:lang w:val="id-ID"/>
        </w:rPr>
      </w:pPr>
      <w:r>
        <w:rPr>
          <w:rFonts w:ascii="Book Antiqua" w:hAnsi="Book Antiqua" w:cs="Book Antiqua"/>
          <w:sz w:val="24"/>
          <w:szCs w:val="24"/>
        </w:rPr>
        <w:tab/>
        <w:t>Because many correctional students are no longer living with their parents, so it is difficult to find someone who is willing to be a guarantor and responsible for correctional students while at home. Not only during the covid-19 pandemic</w:t>
      </w:r>
      <w:r>
        <w:rPr>
          <w:rFonts w:ascii="Book Antiqua" w:hAnsi="Book Antiqua" w:cs="Book Antiqua"/>
          <w:sz w:val="24"/>
          <w:szCs w:val="24"/>
          <w:lang w:val="id-ID"/>
        </w:rPr>
        <w:t>. Before Covid-19, it was difficult to get guarantors for correctional students. The duties and responsibilities of the guarantor are very large where the guarantor must assess the correctional students as long as the correctional students are at home, participate with the correctional students when reporting to the Correctional Center and usually ensure that the correctional students do not make violations that can result in the granting of assimilation rights. the correctional students are revoked.</w:t>
      </w:r>
    </w:p>
    <w:p w:rsidR="00040640" w:rsidRDefault="00040640">
      <w:pPr>
        <w:pStyle w:val="ListParagraph"/>
        <w:spacing w:line="240" w:lineRule="auto"/>
        <w:ind w:left="709"/>
        <w:jc w:val="both"/>
        <w:rPr>
          <w:rFonts w:ascii="Book Antiqua" w:hAnsi="Book Antiqua" w:cs="Book Antiqua"/>
          <w:sz w:val="24"/>
          <w:szCs w:val="24"/>
          <w:lang w:val="id-ID"/>
        </w:rPr>
      </w:pPr>
    </w:p>
    <w:p w:rsidR="00040640" w:rsidRDefault="00040640">
      <w:pPr>
        <w:pStyle w:val="ListParagraph"/>
        <w:spacing w:line="240" w:lineRule="auto"/>
        <w:ind w:left="709"/>
        <w:jc w:val="both"/>
        <w:rPr>
          <w:rFonts w:ascii="Book Antiqua" w:hAnsi="Book Antiqua" w:cs="Book Antiqua"/>
          <w:sz w:val="24"/>
          <w:szCs w:val="24"/>
          <w:lang w:val="id-ID"/>
        </w:rPr>
      </w:pPr>
    </w:p>
    <w:p w:rsidR="00040640" w:rsidRDefault="00040640">
      <w:pPr>
        <w:pStyle w:val="ListParagraph"/>
        <w:spacing w:line="240" w:lineRule="auto"/>
        <w:ind w:left="709"/>
        <w:jc w:val="both"/>
      </w:pPr>
    </w:p>
    <w:p w:rsidR="006E0198" w:rsidRDefault="007F6EAE">
      <w:pPr>
        <w:pStyle w:val="ListParagraph"/>
        <w:numPr>
          <w:ilvl w:val="0"/>
          <w:numId w:val="6"/>
        </w:numPr>
        <w:spacing w:line="240" w:lineRule="auto"/>
        <w:ind w:left="284" w:firstLine="0"/>
        <w:jc w:val="both"/>
        <w:rPr>
          <w:rFonts w:ascii="Book Antiqua" w:hAnsi="Book Antiqua" w:cs="Book Antiqua"/>
          <w:sz w:val="24"/>
          <w:szCs w:val="24"/>
        </w:rPr>
      </w:pPr>
      <w:r>
        <w:rPr>
          <w:rFonts w:ascii="Book Antiqua" w:hAnsi="Book Antiqua" w:cs="Book Antiqua"/>
          <w:sz w:val="24"/>
          <w:szCs w:val="24"/>
        </w:rPr>
        <w:lastRenderedPageBreak/>
        <w:t>Have a register f . record</w:t>
      </w:r>
    </w:p>
    <w:p w:rsidR="006E0198" w:rsidRDefault="007F6EAE">
      <w:pPr>
        <w:pStyle w:val="ListParagraph"/>
        <w:spacing w:line="240" w:lineRule="auto"/>
        <w:ind w:left="709"/>
        <w:jc w:val="both"/>
      </w:pPr>
      <w:r>
        <w:rPr>
          <w:rFonts w:ascii="Book Antiqua" w:hAnsi="Book Antiqua" w:cs="Book Antiqua"/>
          <w:sz w:val="24"/>
          <w:szCs w:val="24"/>
        </w:rPr>
        <w:tab/>
        <w:t>Correctional students who have a record of violations in Register F and do not behave well will not get the right of remission, the right of assimilation or the right of integration in an indefinite period of time.</w:t>
      </w:r>
    </w:p>
    <w:p w:rsidR="006E0198" w:rsidRDefault="007F6EAE">
      <w:pPr>
        <w:pStyle w:val="ListParagraph"/>
        <w:numPr>
          <w:ilvl w:val="0"/>
          <w:numId w:val="6"/>
        </w:numPr>
        <w:spacing w:line="240" w:lineRule="auto"/>
        <w:ind w:left="284" w:firstLine="0"/>
        <w:jc w:val="both"/>
        <w:rPr>
          <w:rFonts w:ascii="Book Antiqua" w:hAnsi="Book Antiqua" w:cs="Book Antiqua"/>
          <w:sz w:val="24"/>
          <w:szCs w:val="24"/>
        </w:rPr>
      </w:pPr>
      <w:r>
        <w:rPr>
          <w:rFonts w:ascii="Book Antiqua" w:hAnsi="Book Antiqua" w:cs="Book Antiqua"/>
          <w:sz w:val="24"/>
          <w:szCs w:val="24"/>
        </w:rPr>
        <w:t>Community Environment</w:t>
      </w:r>
    </w:p>
    <w:p w:rsidR="006E0198" w:rsidRDefault="007F6EAE">
      <w:pPr>
        <w:pStyle w:val="ListParagraph"/>
        <w:spacing w:line="240" w:lineRule="auto"/>
        <w:ind w:left="709"/>
        <w:jc w:val="both"/>
      </w:pPr>
      <w:r>
        <w:rPr>
          <w:rFonts w:ascii="Book Antiqua" w:eastAsia="Times New Roman" w:hAnsi="Book Antiqua" w:cs="Book Antiqua"/>
          <w:color w:val="000000"/>
          <w:sz w:val="24"/>
          <w:szCs w:val="24"/>
        </w:rPr>
        <w:t>Community environmental factors play an important role in the rehabilitation and reintegration of children</w:t>
      </w:r>
      <w:r>
        <w:rPr>
          <w:rFonts w:ascii="Book Antiqua" w:eastAsia="Times New Roman" w:hAnsi="Book Antiqua" w:cs="Book Antiqua"/>
          <w:sz w:val="24"/>
          <w:szCs w:val="24"/>
          <w:lang w:eastAsia="ko-KR"/>
        </w:rPr>
        <w:t>educate</w:t>
      </w:r>
      <w:r>
        <w:rPr>
          <w:rFonts w:ascii="Book Antiqua" w:eastAsia="Times New Roman" w:hAnsi="Book Antiqua" w:cs="Book Antiqua"/>
          <w:color w:val="000000"/>
          <w:sz w:val="24"/>
          <w:szCs w:val="24"/>
        </w:rPr>
        <w:t>correctional facilities, at the stage by re-mingling correctional students with the community. However, it cannot be denied that there is still a gap between correctional students and the community, thoughts about public opinion about criminals put forward by Romli Atmasasmita, he said that</w:t>
      </w:r>
    </w:p>
    <w:p w:rsidR="006E0198" w:rsidRDefault="007F6EAE">
      <w:pPr>
        <w:pStyle w:val="ListParagraph"/>
        <w:spacing w:line="240" w:lineRule="auto"/>
        <w:ind w:left="709"/>
        <w:jc w:val="both"/>
        <w:rPr>
          <w:rFonts w:ascii="Book Antiqua" w:eastAsia="Times New Roman" w:hAnsi="Book Antiqua" w:cs="Book Antiqua"/>
          <w:color w:val="000000"/>
          <w:sz w:val="24"/>
          <w:szCs w:val="24"/>
        </w:rPr>
      </w:pPr>
      <w:r>
        <w:rPr>
          <w:rFonts w:ascii="Book Antiqua" w:hAnsi="Book Antiqua" w:cs="Book Antiqua"/>
          <w:color w:val="000000"/>
          <w:sz w:val="24"/>
          <w:szCs w:val="24"/>
        </w:rPr>
        <w:t>L</w:t>
      </w:r>
      <w:r>
        <w:rPr>
          <w:rFonts w:ascii="Book Antiqua" w:eastAsia="Times New Roman" w:hAnsi="Book Antiqua" w:cs="Book Antiqua"/>
          <w:color w:val="000000"/>
          <w:sz w:val="24"/>
          <w:szCs w:val="24"/>
        </w:rPr>
        <w:t>a</w:t>
      </w:r>
      <w:r>
        <w:rPr>
          <w:rFonts w:ascii="Book Antiqua" w:hAnsi="Book Antiqua" w:cs="Book Antiqua"/>
          <w:color w:val="000000"/>
          <w:sz w:val="24"/>
          <w:szCs w:val="24"/>
        </w:rPr>
        <w:t>on that side</w:t>
      </w:r>
      <w:r>
        <w:rPr>
          <w:rFonts w:ascii="Book Antiqua" w:eastAsia="Times New Roman" w:hAnsi="Book Antiqua" w:cs="Book Antiqua"/>
          <w:color w:val="000000"/>
          <w:sz w:val="24"/>
          <w:szCs w:val="24"/>
        </w:rPr>
        <w:t>we often hear from the public and even tend to be a habit where the view of a criminal is often (always) negative. There is an impression that criminals do not deserve legal protection as do victims of crime.</w:t>
      </w:r>
      <w:r>
        <w:rPr>
          <w:rStyle w:val="FootnoteAnchor"/>
          <w:rFonts w:ascii="Book Antiqua" w:eastAsia="Times New Roman" w:hAnsi="Book Antiqua" w:cs="Book Antiqua"/>
          <w:sz w:val="24"/>
          <w:szCs w:val="24"/>
        </w:rPr>
        <w:footnoteReference w:id="28"/>
      </w:r>
    </w:p>
    <w:p w:rsidR="006E0198" w:rsidRDefault="007F6EAE">
      <w:pPr>
        <w:pStyle w:val="ListParagraph"/>
        <w:spacing w:line="240" w:lineRule="auto"/>
        <w:ind w:left="709"/>
        <w:jc w:val="both"/>
        <w:rPr>
          <w:rFonts w:ascii="Book Antiqua" w:eastAsia="Times New Roman" w:hAnsi="Book Antiqua" w:cs="Book Antiqua"/>
          <w:color w:val="000000"/>
          <w:sz w:val="24"/>
          <w:szCs w:val="24"/>
        </w:rPr>
      </w:pPr>
      <w:r>
        <w:rPr>
          <w:rFonts w:ascii="Book Antiqua" w:eastAsia="Times New Roman" w:hAnsi="Book Antiqua" w:cs="Book Antiqua"/>
          <w:color w:val="000000"/>
          <w:sz w:val="24"/>
          <w:szCs w:val="24"/>
        </w:rPr>
        <w:t>The bad stigma of society towards correctional students as criminals who are ostracized in social life has an impact on the loss of public trust in correctional children and the community is difficult to accept their presence in the assimilation process. The correctional development system is carried out based on the principle stated in Article 5 letter e of Law Number 12 of 1995 concerning Corrections, respect for human dignity and respect is that as a lost person, Correctional Inmates must be treated as human beings. Contrary to the correctional philosophy to re-socialize lost people, in this case correctional students or Correctional Assisted Citizens.</w:t>
      </w:r>
      <w:r>
        <w:rPr>
          <w:rStyle w:val="FootnoteAnchor"/>
          <w:rFonts w:ascii="Book Antiqua" w:eastAsia="Times New Roman" w:hAnsi="Book Antiqua" w:cs="Book Antiqua"/>
          <w:color w:val="000000"/>
          <w:sz w:val="24"/>
          <w:szCs w:val="24"/>
        </w:rPr>
        <w:footnoteReference w:id="29"/>
      </w:r>
    </w:p>
    <w:p w:rsidR="006E0198" w:rsidRDefault="007F6EAE">
      <w:pPr>
        <w:pStyle w:val="ListParagraph"/>
        <w:spacing w:line="240" w:lineRule="auto"/>
        <w:ind w:left="709"/>
        <w:jc w:val="both"/>
      </w:pPr>
      <w:r>
        <w:rPr>
          <w:rFonts w:ascii="Book Antiqua" w:eastAsia="Times New Roman" w:hAnsi="Book Antiqua" w:cs="Book Antiqua"/>
          <w:color w:val="000000"/>
          <w:sz w:val="24"/>
          <w:szCs w:val="24"/>
        </w:rPr>
        <w:t>Another factor in the community's rejection of prisoners is the lack of public knowledge about the pattern of correctional development based on statutory regulations. Society is absolutely necessary in an effort to return correctional students to the right path, because after all it must be recognized that correctional students are an inseparable part of society itself. Although the penal institution, in this case the Child Special Guidance Institute, takes pains to provide guidance to correctional students, if they finish serving their criminal period they do not get good reception from the community, there is a tendency for the former convicts to commit another crime.</w:t>
      </w:r>
    </w:p>
    <w:p w:rsidR="006E0198" w:rsidRDefault="007F6EAE">
      <w:pPr>
        <w:pStyle w:val="ListParagraph"/>
        <w:numPr>
          <w:ilvl w:val="0"/>
          <w:numId w:val="6"/>
        </w:numPr>
        <w:spacing w:line="240" w:lineRule="auto"/>
        <w:ind w:left="284" w:firstLine="0"/>
        <w:jc w:val="both"/>
        <w:rPr>
          <w:rFonts w:ascii="Book Antiqua" w:eastAsia="Times New Roman" w:hAnsi="Book Antiqua" w:cs="Book Antiqua"/>
          <w:color w:val="000000"/>
          <w:sz w:val="24"/>
          <w:szCs w:val="24"/>
        </w:rPr>
      </w:pPr>
      <w:r>
        <w:rPr>
          <w:rFonts w:ascii="Book Antiqua" w:hAnsi="Book Antiqua" w:cs="Book Antiqua"/>
          <w:sz w:val="24"/>
          <w:szCs w:val="24"/>
        </w:rPr>
        <w:t>Excess capacity</w:t>
      </w:r>
    </w:p>
    <w:p w:rsidR="006E0198" w:rsidRDefault="007F6EAE">
      <w:pPr>
        <w:pStyle w:val="ListParagraph"/>
        <w:spacing w:line="240" w:lineRule="auto"/>
        <w:ind w:left="709"/>
        <w:jc w:val="both"/>
      </w:pPr>
      <w:r>
        <w:rPr>
          <w:rFonts w:ascii="Book Antiqua" w:hAnsi="Book Antiqua" w:cs="Book Antiqua"/>
          <w:sz w:val="24"/>
          <w:szCs w:val="24"/>
        </w:rPr>
        <w:t>In this case, excess capacity can also affect obstacles in fulfilling the rights of assimilation and integration because</w:t>
      </w:r>
      <w:r>
        <w:rPr>
          <w:rFonts w:ascii="Book Antiqua" w:eastAsia="Times New Roman" w:hAnsi="Book Antiqua" w:cs="Book Antiqua"/>
          <w:color w:val="000000"/>
          <w:sz w:val="24"/>
          <w:szCs w:val="24"/>
        </w:rPr>
        <w:t xml:space="preserve">The coaching in LPKA is not going well because there are too many residents and the number of LPKA </w:t>
      </w:r>
      <w:r>
        <w:rPr>
          <w:rFonts w:ascii="Book Antiqua" w:eastAsia="Times New Roman" w:hAnsi="Book Antiqua" w:cs="Book Antiqua"/>
          <w:color w:val="000000"/>
          <w:sz w:val="24"/>
          <w:szCs w:val="24"/>
        </w:rPr>
        <w:lastRenderedPageBreak/>
        <w:t>employees is minimal, which makes the granting of assimilation rights and integration rights not optimal for community students.</w:t>
      </w:r>
    </w:p>
    <w:p w:rsidR="006E0198" w:rsidRDefault="007F6EAE">
      <w:pPr>
        <w:pStyle w:val="ListParagraph"/>
        <w:numPr>
          <w:ilvl w:val="0"/>
          <w:numId w:val="6"/>
        </w:numPr>
        <w:spacing w:line="240" w:lineRule="auto"/>
        <w:ind w:left="284" w:firstLine="0"/>
        <w:jc w:val="both"/>
        <w:rPr>
          <w:rFonts w:ascii="Book Antiqua" w:eastAsia="Times New Roman" w:hAnsi="Book Antiqua" w:cs="Book Antiqua"/>
          <w:color w:val="000000"/>
          <w:sz w:val="24"/>
          <w:szCs w:val="24"/>
        </w:rPr>
      </w:pPr>
      <w:r>
        <w:rPr>
          <w:rFonts w:ascii="Book Antiqua" w:eastAsia="Times New Roman" w:hAnsi="Book Antiqua" w:cs="Book Antiqua"/>
          <w:color w:val="000000"/>
          <w:sz w:val="24"/>
          <w:szCs w:val="24"/>
        </w:rPr>
        <w:t>Minimal staff quality</w:t>
      </w:r>
    </w:p>
    <w:p w:rsidR="006E0198" w:rsidRDefault="007F6EAE">
      <w:pPr>
        <w:pStyle w:val="ListParagraph"/>
        <w:spacing w:line="240" w:lineRule="auto"/>
        <w:ind w:left="709"/>
        <w:jc w:val="both"/>
      </w:pPr>
      <w:r>
        <w:rPr>
          <w:rFonts w:ascii="Book Antiqua" w:eastAsia="Times New Roman" w:hAnsi="Book Antiqua" w:cs="Book Antiqua"/>
          <w:color w:val="000000"/>
          <w:sz w:val="24"/>
          <w:szCs w:val="24"/>
        </w:rPr>
        <w:tab/>
        <w:t>LPKA Class II A Gorontalo officers, although they have good quality, but the shortage of officers remains a factor that hinders the fulfillment of the rights of assimilation and integration rights of correctional students. Officers have a big role in efforts to prepare for the assimilation and integration of correctional students as people who foster correctional students. The shortage of these officers is also far from balanced compared to the correctional students who must be nurtured.</w:t>
      </w:r>
    </w:p>
    <w:p w:rsidR="006E0198" w:rsidRDefault="007F6EAE">
      <w:pPr>
        <w:pStyle w:val="ListParagraph"/>
        <w:numPr>
          <w:ilvl w:val="0"/>
          <w:numId w:val="6"/>
        </w:numPr>
        <w:spacing w:line="240" w:lineRule="auto"/>
        <w:ind w:left="284" w:firstLine="0"/>
        <w:jc w:val="both"/>
        <w:rPr>
          <w:rFonts w:ascii="Book Antiqua" w:eastAsia="Times New Roman" w:hAnsi="Book Antiqua" w:cs="Book Antiqua"/>
          <w:color w:val="000000"/>
          <w:sz w:val="24"/>
          <w:szCs w:val="24"/>
        </w:rPr>
      </w:pPr>
      <w:r>
        <w:rPr>
          <w:rFonts w:ascii="Book Antiqua" w:eastAsia="Times New Roman" w:hAnsi="Book Antiqua" w:cs="Book Antiqua"/>
          <w:color w:val="000000"/>
          <w:sz w:val="24"/>
          <w:szCs w:val="24"/>
        </w:rPr>
        <w:t>Ineffective bureaucratic processes</w:t>
      </w:r>
    </w:p>
    <w:p w:rsidR="006E0198" w:rsidRDefault="007F6EAE">
      <w:pPr>
        <w:pStyle w:val="ListParagraph"/>
        <w:spacing w:line="240" w:lineRule="auto"/>
        <w:ind w:left="709"/>
        <w:jc w:val="both"/>
      </w:pPr>
      <w:r>
        <w:rPr>
          <w:rFonts w:ascii="Book Antiqua" w:eastAsia="Times New Roman" w:hAnsi="Book Antiqua" w:cs="Book Antiqua"/>
          <w:color w:val="000000"/>
          <w:sz w:val="24"/>
          <w:szCs w:val="24"/>
        </w:rPr>
        <w:tab/>
        <w:t>The ineffectiveness and efficiency of laws and regulations can be seen from the complexity and length of the process of proposing assimilation and integration such as application letters for assimilation and integration of applicants (correctional students) and the lack of understanding of kelurahan/village officials in making statements and letters of guarantee from the families of students. correctional facilities known by the local lurah/village head.</w:t>
      </w:r>
    </w:p>
    <w:p w:rsidR="006E0198" w:rsidRDefault="007F6EAE">
      <w:pPr>
        <w:spacing w:line="240" w:lineRule="auto"/>
        <w:jc w:val="both"/>
        <w:rPr>
          <w:rFonts w:ascii="Book Antiqua" w:hAnsi="Book Antiqua" w:cs="Book Antiqua"/>
          <w:sz w:val="24"/>
          <w:szCs w:val="24"/>
        </w:rPr>
      </w:pPr>
      <w:r>
        <w:rPr>
          <w:rFonts w:ascii="Book Antiqua" w:hAnsi="Book Antiqua" w:cs="Book Antiqua"/>
          <w:sz w:val="24"/>
          <w:szCs w:val="24"/>
          <w:lang w:val="id-ID" w:eastAsia="en-US"/>
        </w:rPr>
        <w:t>To quote as said by Fence M. Wantu in his Journal that the essence of justice is an assessment from one person to another, which is generally seen from the party receiving the treatment only.</w:t>
      </w:r>
      <w:r>
        <w:rPr>
          <w:rStyle w:val="FootnoteAnchor"/>
          <w:rFonts w:ascii="Book Antiqua" w:hAnsi="Book Antiqua" w:cs="Book Antiqua"/>
          <w:bCs/>
          <w:sz w:val="24"/>
          <w:szCs w:val="24"/>
          <w:lang w:val="id-ID" w:eastAsia="en-US"/>
        </w:rPr>
        <w:footnoteReference w:id="30"/>
      </w:r>
      <w:r>
        <w:rPr>
          <w:rFonts w:ascii="Book Antiqua" w:hAnsi="Book Antiqua" w:cs="Book Antiqua"/>
          <w:bCs/>
          <w:sz w:val="24"/>
          <w:szCs w:val="24"/>
          <w:lang w:val="id-ID" w:eastAsia="en-US"/>
        </w:rPr>
        <w:t>To quote Suwitno Yutye Imran, Justice serves as a guide to distinguish between actions</w:t>
      </w:r>
      <w:r>
        <w:rPr>
          <w:rFonts w:ascii="Book Antiqua" w:hAnsi="Book Antiqua" w:cs="Book Antiqua"/>
          <w:sz w:val="24"/>
          <w:szCs w:val="24"/>
        </w:rPr>
        <w:t>fair and unfair elements of the aspect of justice can be contained in the substance.</w:t>
      </w:r>
      <w:r>
        <w:rPr>
          <w:rStyle w:val="FootnoteAnchor"/>
          <w:rFonts w:ascii="Book Antiqua" w:hAnsi="Book Antiqua" w:cs="Book Antiqua"/>
          <w:bCs/>
          <w:sz w:val="24"/>
          <w:szCs w:val="24"/>
          <w:lang w:val="id-ID" w:eastAsia="en-US"/>
        </w:rPr>
        <w:footnoteReference w:id="31"/>
      </w:r>
      <w:r>
        <w:rPr>
          <w:rFonts w:ascii="Book Antiqua" w:hAnsi="Book Antiqua" w:cs="Book Antiqua"/>
          <w:bCs/>
          <w:sz w:val="24"/>
          <w:szCs w:val="24"/>
          <w:lang w:eastAsia="en-US"/>
        </w:rPr>
        <w:t xml:space="preserve"> </w:t>
      </w:r>
      <w:r>
        <w:rPr>
          <w:rFonts w:ascii="Book Antiqua" w:hAnsi="Book Antiqua" w:cs="Book Antiqua"/>
          <w:sz w:val="24"/>
          <w:szCs w:val="24"/>
        </w:rPr>
        <w:t>The application and enforcement of the law are elements of the legal system that must be continuously addressed in order to realize a legal position in a legal state that is beneficial to the interests of the community, nation and state.</w:t>
      </w:r>
      <w:r>
        <w:rPr>
          <w:rStyle w:val="FootnoteAnchor"/>
          <w:rFonts w:ascii="Book Antiqua" w:hAnsi="Book Antiqua" w:cs="Book Antiqua"/>
          <w:sz w:val="24"/>
          <w:szCs w:val="24"/>
        </w:rPr>
        <w:footnoteReference w:id="32"/>
      </w:r>
      <w:r>
        <w:rPr>
          <w:rFonts w:ascii="Book Antiqua" w:hAnsi="Book Antiqua" w:cs="Book Antiqua"/>
          <w:sz w:val="24"/>
          <w:szCs w:val="24"/>
        </w:rPr>
        <w:t xml:space="preserve"> </w:t>
      </w:r>
      <w:r>
        <w:rPr>
          <w:rFonts w:ascii="Book Antiqua" w:hAnsi="Book Antiqua" w:cs="Book Antiqua"/>
          <w:color w:val="000000"/>
          <w:sz w:val="24"/>
          <w:szCs w:val="24"/>
          <w:lang w:val="id-ID"/>
        </w:rPr>
        <w:t>Therefore, it is also hoped that the community needs to increase legal awareness and participation in supervising and preventing criminal offenses.</w:t>
      </w:r>
      <w:r>
        <w:rPr>
          <w:rStyle w:val="FootnoteAnchor"/>
          <w:rFonts w:ascii="Book Antiqua" w:hAnsi="Book Antiqua" w:cs="Book Antiqua"/>
          <w:color w:val="000000"/>
          <w:sz w:val="24"/>
          <w:szCs w:val="24"/>
          <w:lang w:val="id-ID"/>
        </w:rPr>
        <w:footnoteReference w:id="33"/>
      </w:r>
    </w:p>
    <w:p w:rsidR="006E0198" w:rsidRDefault="007F6EAE">
      <w:pPr>
        <w:spacing w:line="240" w:lineRule="auto"/>
        <w:jc w:val="both"/>
        <w:rPr>
          <w:rFonts w:ascii="Book Antiqua" w:eastAsia="Times New Roman" w:hAnsi="Book Antiqua" w:cs="Book Antiqua"/>
          <w:lang w:eastAsia="ko-KR"/>
        </w:rPr>
      </w:pPr>
      <w:r>
        <w:rPr>
          <w:rFonts w:ascii="Book Antiqua" w:hAnsi="Book Antiqua" w:cs="Book Antiqua"/>
        </w:rPr>
        <w:t>Based on the results of the researcher's interview with one of the LPKA employees above, the researcher can analyze that the biggest factor that hinders the fulfillment of the rights of assimilation and integration of correctional students is the environmental factor of the community itself which is difficult to accept back the presence of correctional students because they already have a bad stigma. to correctional students.</w:t>
      </w:r>
    </w:p>
    <w:p w:rsidR="006E0198" w:rsidRDefault="007F6EAE">
      <w:pPr>
        <w:pStyle w:val="ListParagraph"/>
        <w:numPr>
          <w:ilvl w:val="0"/>
          <w:numId w:val="7"/>
        </w:numPr>
        <w:spacing w:before="240" w:line="240" w:lineRule="auto"/>
        <w:jc w:val="both"/>
        <w:rPr>
          <w:rFonts w:ascii="Book Antiqua" w:eastAsia="Arial Unicode MS" w:hAnsi="Book Antiqua" w:cs="Calibri Light"/>
          <w:b/>
          <w:sz w:val="28"/>
          <w:lang w:val="id-ID" w:eastAsia="en-US"/>
        </w:rPr>
      </w:pPr>
      <w:r>
        <w:rPr>
          <w:rFonts w:ascii="Book Antiqua" w:eastAsia="Arial Unicode MS" w:hAnsi="Book Antiqua" w:cs="Calibri Light"/>
          <w:b/>
          <w:sz w:val="28"/>
          <w:lang w:val="id-ID" w:eastAsia="en-US"/>
        </w:rPr>
        <w:lastRenderedPageBreak/>
        <w:t>Conclusion</w:t>
      </w:r>
    </w:p>
    <w:p w:rsidR="006E0198" w:rsidRDefault="007F6EAE">
      <w:pPr>
        <w:pStyle w:val="Default"/>
        <w:spacing w:after="200"/>
        <w:ind w:firstLine="426"/>
        <w:jc w:val="both"/>
        <w:rPr>
          <w:rFonts w:ascii="Book Antiqua" w:eastAsia="Times New Roman" w:hAnsi="Book Antiqua" w:cs="Book Antiqua"/>
          <w:lang w:val="id-ID" w:eastAsia="ko-KR"/>
        </w:rPr>
      </w:pPr>
      <w:r>
        <w:rPr>
          <w:rFonts w:ascii="Book Antiqua" w:eastAsia="Times New Roman" w:hAnsi="Book Antiqua" w:cs="Book Antiqua"/>
          <w:lang w:val="id-ID" w:eastAsia="ko-KR"/>
        </w:rPr>
        <w:t>In the implementation of the fulfillment of the right of assimilation and the right of integration to correctional students, there are several obstacles, the obstacles are that there is no guarantor of the correctional students, has register f records, community environment, excess capacity, minimal quality of officers and less bureaucratic processes. effective.</w:t>
      </w:r>
    </w:p>
    <w:p w:rsidR="006E0198" w:rsidRDefault="007F6EAE">
      <w:pPr>
        <w:pStyle w:val="Default"/>
        <w:spacing w:after="200"/>
        <w:ind w:firstLine="426"/>
        <w:jc w:val="both"/>
        <w:rPr>
          <w:rFonts w:ascii="Book Antiqua" w:eastAsia="Times New Roman" w:hAnsi="Book Antiqua" w:cs="Book Antiqua"/>
          <w:lang w:val="id-ID" w:eastAsia="ko-KR"/>
        </w:rPr>
      </w:pPr>
      <w:r>
        <w:rPr>
          <w:rFonts w:ascii="Book Antiqua" w:hAnsi="Book Antiqua" w:cs="Book Antiqua"/>
          <w:lang w:val="id-ID"/>
        </w:rPr>
        <w:t>The government carries out alternative non-prison punishments that can be carried out such as supervision and community service which is seen as more efficient than prison law because in achieving the goal of fostering or rehabilitating correctional students before finally being able to be free and return to life in the community and for the community.The community is expected to participate actively in the implementation of community programs, so that correctional students feel they can be accepted again in the community.</w:t>
      </w:r>
    </w:p>
    <w:p w:rsidR="006E0198" w:rsidRDefault="007F6EAE">
      <w:pPr>
        <w:pStyle w:val="ListParagraph"/>
        <w:spacing w:line="240" w:lineRule="auto"/>
        <w:ind w:left="0"/>
        <w:jc w:val="both"/>
        <w:rPr>
          <w:rFonts w:ascii="Book Antiqua" w:hAnsi="Book Antiqua" w:cs="Calibri Light"/>
          <w:b/>
          <w:bCs/>
          <w:sz w:val="28"/>
          <w:lang w:val="id-ID" w:eastAsia="en-US"/>
        </w:rPr>
      </w:pPr>
      <w:r>
        <w:rPr>
          <w:rFonts w:ascii="Book Antiqua" w:hAnsi="Book Antiqua" w:cs="Calibri Light"/>
          <w:b/>
          <w:bCs/>
          <w:sz w:val="28"/>
          <w:lang w:val="id-ID" w:eastAsia="en-US"/>
        </w:rPr>
        <w:t>References</w:t>
      </w:r>
    </w:p>
    <w:p w:rsidR="006E0198" w:rsidRDefault="007F6EAE">
      <w:pPr>
        <w:pStyle w:val="ListParagraph"/>
        <w:spacing w:before="240" w:line="240" w:lineRule="auto"/>
        <w:ind w:left="284"/>
        <w:jc w:val="center"/>
        <w:rPr>
          <w:rFonts w:ascii="Book Antiqua" w:hAnsi="Book Antiqua" w:cs="Calibri Light"/>
          <w:b/>
          <w:sz w:val="24"/>
          <w:szCs w:val="24"/>
          <w:lang w:eastAsia="en-US"/>
        </w:rPr>
      </w:pPr>
      <w:r>
        <w:rPr>
          <w:rFonts w:ascii="Book Antiqua" w:hAnsi="Book Antiqua" w:cs="Calibri Light"/>
          <w:b/>
          <w:sz w:val="24"/>
          <w:szCs w:val="24"/>
          <w:lang w:val="id-ID" w:eastAsia="en-US"/>
        </w:rPr>
        <w:t>Book</w:t>
      </w:r>
    </w:p>
    <w:p w:rsidR="006E0198" w:rsidRDefault="007F6EAE">
      <w:pPr>
        <w:pStyle w:val="FootnoteText"/>
        <w:spacing w:after="240"/>
        <w:ind w:left="709" w:hanging="709"/>
        <w:jc w:val="both"/>
      </w:pPr>
      <w:r>
        <w:rPr>
          <w:rFonts w:ascii="Book Antiqua" w:hAnsi="Book Antiqua" w:cs="Book Antiqua"/>
          <w:sz w:val="24"/>
          <w:szCs w:val="24"/>
          <w:lang w:val="id-ID"/>
        </w:rPr>
        <w:t>AS Alam and Amir Ilyas. Criminology An Introduction. Jakarta: Prenadamedia Group, 2018.</w:t>
      </w:r>
    </w:p>
    <w:p w:rsidR="006E0198" w:rsidRDefault="007F6EAE">
      <w:pPr>
        <w:pStyle w:val="FootnoteText"/>
        <w:spacing w:after="240"/>
        <w:ind w:left="709" w:hanging="709"/>
        <w:jc w:val="both"/>
        <w:rPr>
          <w:rFonts w:ascii="Book Antiqua" w:hAnsi="Book Antiqua" w:cs="Book Antiqua"/>
          <w:sz w:val="24"/>
          <w:szCs w:val="24"/>
          <w:lang w:val="id-ID"/>
        </w:rPr>
      </w:pPr>
      <w:r>
        <w:rPr>
          <w:rFonts w:ascii="Book Antiqua" w:hAnsi="Book Antiqua" w:cs="Book Antiqua"/>
          <w:sz w:val="24"/>
          <w:szCs w:val="24"/>
          <w:lang w:val="id-ID" w:eastAsia="en-US"/>
        </w:rPr>
        <w:t>Fence M. Wantu. Criminal Procedure Law. Yogyakarta: Reviva Scholar, 2011</w:t>
      </w:r>
    </w:p>
    <w:p w:rsidR="006E0198" w:rsidRDefault="007F6EAE">
      <w:pPr>
        <w:pStyle w:val="FootnoteText"/>
        <w:spacing w:after="200"/>
        <w:ind w:left="1134" w:hanging="1134"/>
        <w:jc w:val="both"/>
      </w:pPr>
      <w:r>
        <w:rPr>
          <w:rFonts w:ascii="Book Antiqua" w:hAnsi="Book Antiqua" w:cs="Book Antiqua"/>
          <w:sz w:val="24"/>
          <w:szCs w:val="24"/>
          <w:lang w:val="id-ID" w:eastAsia="en-US"/>
        </w:rPr>
        <w:t>Mukti Fajar &amp; Yulianto Achmad, Dualism in Legal Research (Normative and Empirical), Yogyakarta: Pustaka Pelajar, 2010.</w:t>
      </w:r>
    </w:p>
    <w:p w:rsidR="006E0198" w:rsidRDefault="007F6EAE">
      <w:pPr>
        <w:pStyle w:val="FootnoteText"/>
        <w:spacing w:after="240"/>
        <w:ind w:left="709" w:hanging="709"/>
        <w:jc w:val="both"/>
        <w:rPr>
          <w:rFonts w:ascii="Book Antiqua" w:hAnsi="Book Antiqua" w:cs="Book Antiqua"/>
          <w:sz w:val="24"/>
          <w:szCs w:val="24"/>
          <w:lang w:val="id-ID"/>
        </w:rPr>
      </w:pPr>
      <w:r>
        <w:rPr>
          <w:rFonts w:eastAsia="Times New Roman"/>
          <w:color w:val="000000"/>
          <w:sz w:val="24"/>
          <w:szCs w:val="24"/>
          <w:lang w:eastAsia="en-US"/>
        </w:rPr>
        <w:t>Romli Atmasasmita. Criminal Justice System Perspective of Existentialism and Abolism. Bandung : Binacipta, 2019.</w:t>
      </w:r>
    </w:p>
    <w:p w:rsidR="006E0198" w:rsidRDefault="007F6EAE">
      <w:pPr>
        <w:pStyle w:val="FootnoteText"/>
        <w:spacing w:after="240"/>
        <w:ind w:left="709" w:hanging="709"/>
        <w:jc w:val="both"/>
      </w:pPr>
      <w:r>
        <w:rPr>
          <w:rFonts w:ascii="Book Antiqua" w:hAnsi="Book Antiqua" w:cs="Book Antiqua"/>
          <w:sz w:val="24"/>
          <w:szCs w:val="24"/>
        </w:rPr>
        <w:t>Soerjono Soekanto. Introduction to Legal Research. Jakarta: UI- Press, 2010</w:t>
      </w:r>
    </w:p>
    <w:p w:rsidR="006E0198" w:rsidRDefault="007F6EAE">
      <w:pPr>
        <w:pStyle w:val="ListParagraph"/>
        <w:spacing w:before="240" w:line="240" w:lineRule="auto"/>
        <w:ind w:left="284"/>
        <w:jc w:val="center"/>
        <w:rPr>
          <w:rFonts w:ascii="Book Antiqua" w:hAnsi="Book Antiqua" w:cs="Calibri Light"/>
          <w:b/>
          <w:sz w:val="24"/>
          <w:szCs w:val="24"/>
          <w:lang w:val="id-ID" w:eastAsia="en-US"/>
        </w:rPr>
      </w:pPr>
      <w:r>
        <w:rPr>
          <w:rFonts w:ascii="Book Antiqua" w:hAnsi="Book Antiqua" w:cs="Calibri Light"/>
          <w:b/>
          <w:sz w:val="24"/>
          <w:szCs w:val="24"/>
          <w:lang w:val="id-ID" w:eastAsia="en-US"/>
        </w:rPr>
        <w:t>Journal</w:t>
      </w:r>
    </w:p>
    <w:p w:rsidR="006E0198" w:rsidRDefault="007F6EAE">
      <w:pPr>
        <w:spacing w:after="240"/>
        <w:ind w:left="993" w:hanging="993"/>
        <w:jc w:val="both"/>
        <w:rPr>
          <w:sz w:val="24"/>
          <w:szCs w:val="24"/>
          <w:lang w:val="id-ID"/>
        </w:rPr>
      </w:pPr>
      <w:r>
        <w:rPr>
          <w:rFonts w:ascii="Book Antiqua" w:hAnsi="Book Antiqua" w:cs="Book Antiqua"/>
          <w:sz w:val="24"/>
          <w:szCs w:val="24"/>
        </w:rPr>
        <w:t>Achir, Nuvazria, and Sri Nanang Meiske Kamba. The function of sharia-based Regional Regulations on Education and Social Services in the Regions. Jambura Law Review. 3 Special Issues, (2021),</w:t>
      </w:r>
    </w:p>
    <w:p w:rsidR="006E0198" w:rsidRDefault="007F6EAE">
      <w:pPr>
        <w:pStyle w:val="FootnoteText"/>
        <w:spacing w:after="240"/>
        <w:ind w:left="993" w:hanging="993"/>
        <w:jc w:val="both"/>
      </w:pPr>
      <w:r>
        <w:rPr>
          <w:rFonts w:ascii="Book Antiqua" w:hAnsi="Book Antiqua" w:cs="Book Antiqua"/>
          <w:sz w:val="24"/>
          <w:szCs w:val="24"/>
        </w:rPr>
        <w:t>Ahir, Nuvazria. Normative Annotation on Regional Regulations on Transparency. Jambura Law Review. 2 No. 1 (2020),</w:t>
      </w:r>
    </w:p>
    <w:p w:rsidR="006E0198" w:rsidRDefault="007F6EAE">
      <w:pPr>
        <w:spacing w:after="240"/>
        <w:ind w:left="993" w:hanging="993"/>
        <w:jc w:val="both"/>
        <w:rPr>
          <w:sz w:val="24"/>
          <w:szCs w:val="24"/>
          <w:lang w:val="id-ID"/>
        </w:rPr>
      </w:pPr>
      <w:r>
        <w:rPr>
          <w:rFonts w:ascii="Book Antiqua" w:hAnsi="Book Antiqua" w:cs="Book Antiqua"/>
          <w:sz w:val="24"/>
          <w:szCs w:val="24"/>
        </w:rPr>
        <w:t>Ahmad &amp; Nggilu, Novendri M. Denyut Nadi The Fifth Amendment of the 1945 Constitution through the Involvement of the Constitutional Court as a Principle of the Guardian of the Constitution. Constitutional Journal. 16 No. 4 (2019), 785-808</w:t>
      </w:r>
    </w:p>
    <w:p w:rsidR="006E0198" w:rsidRDefault="007F6EAE">
      <w:pPr>
        <w:spacing w:after="240"/>
        <w:ind w:left="993" w:hanging="993"/>
        <w:jc w:val="both"/>
        <w:rPr>
          <w:sz w:val="24"/>
          <w:szCs w:val="24"/>
          <w:lang w:val="id-ID"/>
        </w:rPr>
      </w:pPr>
      <w:r>
        <w:rPr>
          <w:rFonts w:ascii="Book Antiqua" w:eastAsia="Times New Roman" w:hAnsi="Book Antiqua" w:cs="Book Antiqua"/>
          <w:sz w:val="24"/>
          <w:szCs w:val="24"/>
          <w:lang w:eastAsia="id-ID"/>
        </w:rPr>
        <w:lastRenderedPageBreak/>
        <w:t>Alhasni, Mohamad Rizky., Badu, Lisnawaty W., &amp; Nggilu, Novendri M. Assessing the Role of the Police in Preventing the Crime of Obscenity Against Minors. Legality Journal. 12 No. 2 (2019).</w:t>
      </w:r>
    </w:p>
    <w:p w:rsidR="006E0198" w:rsidRDefault="007F6EAE">
      <w:pPr>
        <w:pStyle w:val="FootnoteText"/>
        <w:spacing w:after="200"/>
        <w:ind w:left="1134" w:hanging="1134"/>
        <w:jc w:val="both"/>
      </w:pPr>
      <w:r>
        <w:rPr>
          <w:rFonts w:ascii="Book Antiqua" w:hAnsi="Book Antiqua" w:cs="Book Antiqua"/>
          <w:sz w:val="24"/>
          <w:szCs w:val="24"/>
          <w:lang w:val="id-ID" w:eastAsia="en-US"/>
        </w:rPr>
        <w:t>Badu, Lisnawaty. Euthanasia and Human Rights. Legality Journal. 5 No. 1 (2012), 1-11.</w:t>
      </w:r>
    </w:p>
    <w:p w:rsidR="006E0198" w:rsidRDefault="007F6EAE">
      <w:pPr>
        <w:spacing w:after="240"/>
        <w:ind w:left="993" w:hanging="993"/>
        <w:jc w:val="both"/>
        <w:rPr>
          <w:sz w:val="24"/>
          <w:szCs w:val="24"/>
          <w:lang w:val="id-ID"/>
        </w:rPr>
      </w:pPr>
      <w:r>
        <w:rPr>
          <w:rFonts w:ascii="Book Antiqua" w:hAnsi="Book Antiqua" w:cs="Book Antiqua"/>
          <w:sz w:val="24"/>
          <w:szCs w:val="24"/>
        </w:rPr>
        <w:t>Badu, Lisnawaty. W., &amp; Apripari, A. Initiating Military Crimes as Absolute Competence of Military Courts in Criminal Cases. Legality Journal. 12 No. 1 (2019).</w:t>
      </w:r>
    </w:p>
    <w:p w:rsidR="006E0198" w:rsidRDefault="007F6EAE">
      <w:pPr>
        <w:pStyle w:val="FootnoteText"/>
        <w:spacing w:after="200"/>
        <w:ind w:left="1134" w:hanging="1134"/>
        <w:jc w:val="both"/>
      </w:pPr>
      <w:r>
        <w:rPr>
          <w:rFonts w:ascii="Book Antiqua" w:hAnsi="Book Antiqua" w:cs="Book Antiqua"/>
          <w:sz w:val="24"/>
          <w:szCs w:val="24"/>
          <w:lang w:val="id-ID" w:eastAsia="en-US"/>
        </w:rPr>
        <w:t>Daffodil, Dolot Alhasni. Determination of Legal Protection for Neighboring Right Holders. Journal of Law Review. 2 No. 1 (2020), 65-82.</w:t>
      </w:r>
    </w:p>
    <w:p w:rsidR="006E0198" w:rsidRDefault="007F6EAE">
      <w:pPr>
        <w:spacing w:line="240" w:lineRule="auto"/>
        <w:ind w:left="1134" w:hanging="1134"/>
        <w:jc w:val="both"/>
      </w:pPr>
      <w:r>
        <w:rPr>
          <w:rFonts w:ascii="Book Antiqua" w:hAnsi="Book Antiqua" w:cs="Book Antiqua"/>
          <w:sz w:val="24"/>
          <w:szCs w:val="24"/>
          <w:lang w:val="id-ID" w:eastAsia="en-US"/>
        </w:rPr>
        <w:t>Imran, Suwitno Y. The Urgency of Regulation of the Ultra Qui Judicat Principle in Criminal Judgments. Journal of Law Review. 3 No. 2 (2021), 395-410</w:t>
      </w:r>
    </w:p>
    <w:p w:rsidR="006E0198" w:rsidRDefault="007F6EAE">
      <w:pPr>
        <w:spacing w:line="240" w:lineRule="auto"/>
        <w:ind w:left="1134" w:hanging="1134"/>
        <w:jc w:val="both"/>
      </w:pPr>
      <w:r>
        <w:rPr>
          <w:rFonts w:ascii="Book Antiqua" w:hAnsi="Book Antiqua" w:cs="Book Antiqua"/>
          <w:sz w:val="24"/>
          <w:szCs w:val="24"/>
          <w:lang w:val="id-ID" w:eastAsia="en-US"/>
        </w:rPr>
        <w:t>Ismail, Dian Ekawaty., &amp; Sarson, Mohamad Taufiq Zulfikar. (2021). Criminology Analysis of Women's as Perpetrators of Domestic Violence Crimes. Journal of Law Review. 3(3), 57-76</w:t>
      </w:r>
    </w:p>
    <w:p w:rsidR="006E0198" w:rsidRDefault="007F6EAE">
      <w:pPr>
        <w:spacing w:after="240" w:line="240" w:lineRule="auto"/>
        <w:ind w:left="993" w:hanging="993"/>
        <w:jc w:val="both"/>
      </w:pPr>
      <w:r>
        <w:rPr>
          <w:rFonts w:ascii="Book Antiqua" w:hAnsi="Book Antiqua" w:cs="Book Antiqua"/>
          <w:sz w:val="24"/>
          <w:szCs w:val="24"/>
        </w:rPr>
        <w:t>Lakoro, Aniza; Badu, Lisnawaty; Ahir, Nuvazria. Weak Police in Handling Crimes of Online Togel Gambling. Legality Journal. 13 No. 1 (2020), 31-50.</w:t>
      </w:r>
    </w:p>
    <w:p w:rsidR="006E0198" w:rsidRDefault="007F6EAE">
      <w:pPr>
        <w:spacing w:line="240" w:lineRule="auto"/>
        <w:ind w:left="1134" w:hanging="1134"/>
        <w:jc w:val="both"/>
      </w:pPr>
      <w:r>
        <w:rPr>
          <w:rFonts w:ascii="Book Antiqua" w:hAnsi="Book Antiqua" w:cs="Book Antiqua"/>
          <w:sz w:val="24"/>
          <w:szCs w:val="24"/>
        </w:rPr>
        <w:t>Lubis, Muhammad Syahputra, et al. Legal Studies of Children Facing the Law in the Crime of Theft according to Law no. 11 of 2012 concerning Juvenile Court (Study of Decision No. 67/Pid. Sus-Anak/2017/Pn. Mdn). Legal Scientific Journal. 1 No. 1 (2019), 94-104.</w:t>
      </w:r>
    </w:p>
    <w:p w:rsidR="006E0198" w:rsidRDefault="007F6EAE">
      <w:pPr>
        <w:spacing w:after="240"/>
        <w:ind w:left="993" w:hanging="993"/>
        <w:jc w:val="both"/>
        <w:rPr>
          <w:sz w:val="24"/>
          <w:szCs w:val="24"/>
          <w:lang w:val="id-ID"/>
        </w:rPr>
      </w:pPr>
      <w:r>
        <w:rPr>
          <w:rFonts w:ascii="Book Antiqua" w:hAnsi="Book Antiqua" w:cs="Book Antiqua"/>
          <w:sz w:val="24"/>
          <w:szCs w:val="24"/>
          <w:shd w:val="clear" w:color="auto" w:fill="FFFFFF"/>
        </w:rPr>
        <w:t>Mandjo, J., &amp; Sarson, MTZ The Right to Obtain Free Assistance and Legal Protection for The Indigent People Through Legal Assistance Organizations. Jambura Law Review. 3 No. 2 (2021),</w:t>
      </w:r>
    </w:p>
    <w:p w:rsidR="006E0198" w:rsidRDefault="007F6EAE">
      <w:pPr>
        <w:spacing w:line="240" w:lineRule="auto"/>
        <w:ind w:left="1134" w:hanging="1134"/>
        <w:jc w:val="both"/>
      </w:pPr>
      <w:r>
        <w:rPr>
          <w:rFonts w:ascii="Book Antiqua" w:hAnsi="Book Antiqua" w:cs="Book Antiqua"/>
          <w:sz w:val="24"/>
          <w:szCs w:val="24"/>
          <w:lang w:val="id-ID" w:eastAsia="en-US"/>
        </w:rPr>
        <w:t>Nggilu, Novendri M. Juridical Review of Criminal Sanction Arrangements in Gorontalo Provincial Regulations. Lambung Mangkurat Law Journal. 5 No. 2, (2020), 109-121.</w:t>
      </w:r>
    </w:p>
    <w:p w:rsidR="006E0198" w:rsidRDefault="007F6EAE">
      <w:pPr>
        <w:spacing w:line="240" w:lineRule="auto"/>
        <w:ind w:left="1134" w:hanging="1134"/>
        <w:jc w:val="both"/>
      </w:pPr>
      <w:r>
        <w:rPr>
          <w:rFonts w:ascii="Book Antiqua" w:hAnsi="Book Antiqua" w:cs="Book Antiqua"/>
          <w:bCs/>
          <w:sz w:val="24"/>
          <w:szCs w:val="24"/>
        </w:rPr>
        <w:t>Panungkelan, Waraney CV</w:t>
      </w:r>
      <w:r>
        <w:rPr>
          <w:rFonts w:ascii="Book Antiqua" w:eastAsia="Times New Roman" w:hAnsi="Book Antiqua" w:cs="Book Antiqua"/>
          <w:bCs/>
          <w:iCs/>
          <w:sz w:val="24"/>
          <w:szCs w:val="24"/>
        </w:rPr>
        <w:t>Application of Assimilation in Rutan According to Law Number 12 of 1995 concerning Corrections. Journal of Lex Crimen</w:t>
      </w:r>
      <w:r>
        <w:rPr>
          <w:rFonts w:ascii="Book Antiqua" w:eastAsia="Times New Roman" w:hAnsi="Book Antiqua" w:cs="Book Antiqua"/>
          <w:bCs/>
          <w:sz w:val="24"/>
          <w:szCs w:val="24"/>
        </w:rPr>
        <w:t>. 5 No. 4 (2016), 98-106</w:t>
      </w:r>
    </w:p>
    <w:p w:rsidR="006E0198" w:rsidRDefault="007F6EAE">
      <w:pPr>
        <w:pStyle w:val="FootnoteText"/>
        <w:spacing w:after="200"/>
        <w:ind w:left="1134" w:hanging="1134"/>
        <w:jc w:val="both"/>
      </w:pPr>
      <w:r>
        <w:rPr>
          <w:rFonts w:ascii="Book Antiqua" w:hAnsi="Book Antiqua" w:cs="Book Antiqua"/>
          <w:sz w:val="24"/>
          <w:szCs w:val="24"/>
          <w:lang w:val="id-ID" w:eastAsia="en-US"/>
        </w:rPr>
        <w:lastRenderedPageBreak/>
        <w:t>Puluhulawa, Fenty., Tujow, Lusiana M., &amp; Sutrisno. Application of the Principles of Justice, Legal Certainty and Benefit in Judge's Decisions. Gorontalo Law Review Journal. 3 No. 2, (2020), 168-187.</w:t>
      </w:r>
    </w:p>
    <w:p w:rsidR="006E0198" w:rsidRDefault="007F6EAE">
      <w:pPr>
        <w:spacing w:line="240" w:lineRule="auto"/>
        <w:ind w:left="1134" w:hanging="1134"/>
        <w:jc w:val="both"/>
      </w:pPr>
      <w:r>
        <w:rPr>
          <w:rFonts w:ascii="Book Antiqua" w:hAnsi="Book Antiqua" w:cs="Book Antiqua"/>
          <w:sz w:val="24"/>
          <w:szCs w:val="24"/>
          <w:lang w:val="id-ID" w:eastAsia="en-US"/>
        </w:rPr>
        <w:t>Puluhulawa, Jufryanto., Towadi, Mellisa, &amp; Swarianata, Vifi. Leato/Japanese Cargo Wreck Underwater Site Legal Protection. Journal of Legal Reform, 24 No. 2, (2020), 189-208</w:t>
      </w:r>
    </w:p>
    <w:p w:rsidR="006E0198" w:rsidRDefault="007F6EAE">
      <w:pPr>
        <w:pStyle w:val="FootnoteText"/>
        <w:spacing w:after="240"/>
        <w:ind w:left="993" w:hanging="993"/>
        <w:jc w:val="both"/>
        <w:rPr>
          <w:rFonts w:ascii="Book Antiqua" w:hAnsi="Book Antiqua" w:cs="Book Antiqua"/>
          <w:sz w:val="24"/>
          <w:szCs w:val="24"/>
          <w:lang w:val="id-ID"/>
        </w:rPr>
      </w:pPr>
      <w:r>
        <w:rPr>
          <w:rFonts w:ascii="Book Antiqua" w:hAnsi="Book Antiqua" w:cs="Arial"/>
          <w:sz w:val="24"/>
          <w:szCs w:val="24"/>
          <w:shd w:val="clear" w:color="auto" w:fill="FFFFFF"/>
        </w:rPr>
        <w:t>Puluhulawa, MRU, &amp; Husain, R. Body Shaming Through Social Media As a Digital Crime In The Era of Disruption. Jambura Law Review, 3</w:t>
      </w:r>
      <w:r>
        <w:rPr>
          <w:rFonts w:ascii="Book Antiqua" w:hAnsi="Book Antiqua" w:cs="Book Antiqua"/>
          <w:sz w:val="24"/>
          <w:szCs w:val="24"/>
          <w:shd w:val="clear" w:color="auto" w:fill="FFFFFF"/>
        </w:rPr>
        <w:t>No. 1</w:t>
      </w:r>
      <w:r>
        <w:rPr>
          <w:rFonts w:ascii="Book Antiqua" w:hAnsi="Book Antiqua" w:cs="Arial"/>
          <w:sz w:val="24"/>
          <w:szCs w:val="24"/>
          <w:shd w:val="clear" w:color="auto" w:fill="FFFFFF"/>
        </w:rPr>
        <w:t>(2021),</w:t>
      </w:r>
    </w:p>
    <w:p w:rsidR="006E0198" w:rsidRDefault="007F6EAE">
      <w:pPr>
        <w:pStyle w:val="FootnoteText"/>
        <w:spacing w:after="240"/>
        <w:ind w:left="993" w:hanging="993"/>
        <w:jc w:val="both"/>
        <w:rPr>
          <w:rFonts w:ascii="Book Antiqua" w:hAnsi="Book Antiqua" w:cs="Book Antiqua"/>
          <w:sz w:val="24"/>
          <w:szCs w:val="24"/>
        </w:rPr>
      </w:pPr>
      <w:r>
        <w:rPr>
          <w:rFonts w:ascii="Book Antiqua" w:hAnsi="Book Antiqua" w:cs="Book Antiqua"/>
          <w:sz w:val="24"/>
          <w:szCs w:val="24"/>
        </w:rPr>
        <w:t>Santiago, Faisal. Law Enforcement of Corruption Crimes by Law Enforcers for the Creation of Legal Order. Pagaruyung Law Journal. 1 No.1 (2017), 23-43</w:t>
      </w:r>
    </w:p>
    <w:p w:rsidR="006E0198" w:rsidRDefault="007F6EAE">
      <w:pPr>
        <w:spacing w:after="240"/>
        <w:ind w:left="993" w:hanging="993"/>
        <w:jc w:val="both"/>
        <w:rPr>
          <w:rFonts w:ascii="Book Antiqua" w:hAnsi="Book Antiqua" w:cs="Book Antiqua"/>
          <w:sz w:val="24"/>
          <w:szCs w:val="24"/>
          <w:lang w:val="id-ID"/>
        </w:rPr>
      </w:pPr>
      <w:r>
        <w:rPr>
          <w:rFonts w:ascii="Book Antiqua" w:hAnsi="Book Antiqua" w:cs="Book Antiqua"/>
          <w:sz w:val="24"/>
          <w:szCs w:val="24"/>
        </w:rPr>
        <w:t>Solekha, RR, Wantu, F., &amp; Tijow, L. Law Enforcement Against Money Politic Crime by Candidates for Legislative Members in the 2019 General Election. Journal of Legality. 13 No. 1 (2020).</w:t>
      </w:r>
    </w:p>
    <w:p w:rsidR="006E0198" w:rsidRDefault="007F6EAE">
      <w:pPr>
        <w:pStyle w:val="FootnoteText"/>
        <w:spacing w:after="240"/>
        <w:ind w:left="993" w:hanging="993"/>
        <w:jc w:val="both"/>
      </w:pPr>
      <w:r>
        <w:rPr>
          <w:rFonts w:ascii="Book Antiqua" w:hAnsi="Book Antiqua" w:cs="Book Antiqua"/>
          <w:sz w:val="24"/>
          <w:szCs w:val="24"/>
        </w:rPr>
        <w:t>Tijow, Luciana Margareth. The Position of Village Regulations in the System of Formation of National Legislation. Ius Civile Journal. 4 No. 2 (2020),</w:t>
      </w:r>
    </w:p>
    <w:p w:rsidR="006E0198" w:rsidRDefault="007F6EAE">
      <w:pPr>
        <w:spacing w:line="240" w:lineRule="auto"/>
        <w:ind w:left="1134" w:hanging="1134"/>
        <w:jc w:val="both"/>
      </w:pPr>
      <w:r>
        <w:rPr>
          <w:rFonts w:ascii="Book Antiqua" w:hAnsi="Book Antiqua" w:cs="Book Antiqua"/>
          <w:sz w:val="24"/>
          <w:szCs w:val="24"/>
          <w:lang w:val="id-ID" w:eastAsia="en-US"/>
        </w:rPr>
        <w:t>Tijow, Luciana. Protection of Human Rights to the Right to Life of Children in the womb outside of a legal marriage. Legality Journal. 3 No. 2 (2010)</w:t>
      </w:r>
    </w:p>
    <w:p w:rsidR="006E0198" w:rsidRDefault="007F6EAE">
      <w:pPr>
        <w:pStyle w:val="FootnoteText"/>
        <w:spacing w:after="240"/>
        <w:ind w:left="993" w:hanging="993"/>
        <w:jc w:val="both"/>
        <w:rPr>
          <w:rFonts w:ascii="Book Antiqua" w:hAnsi="Book Antiqua" w:cs="Book Antiqua"/>
          <w:sz w:val="24"/>
          <w:szCs w:val="24"/>
        </w:rPr>
      </w:pPr>
      <w:r>
        <w:rPr>
          <w:rFonts w:ascii="Book Antiqua" w:hAnsi="Book Antiqua" w:cs="Book Antiqua"/>
          <w:sz w:val="24"/>
          <w:szCs w:val="24"/>
        </w:rPr>
        <w:t>Tom, Abdul Hamid. Grounding Pancasila: Efforts to Institutionalize Pancasila Values ​​in Village Community Life. Journal of Al-'Adl. 13 No. 1 (2020),</w:t>
      </w:r>
    </w:p>
    <w:p w:rsidR="006E0198" w:rsidRDefault="007F6EAE">
      <w:pPr>
        <w:spacing w:after="240"/>
        <w:ind w:left="993" w:hanging="993"/>
        <w:jc w:val="both"/>
        <w:rPr>
          <w:rFonts w:ascii="Book Antiqua" w:hAnsi="Book Antiqua" w:cs="Book Antiqua"/>
          <w:sz w:val="24"/>
          <w:szCs w:val="24"/>
          <w:lang w:val="id-ID"/>
        </w:rPr>
      </w:pPr>
      <w:r>
        <w:rPr>
          <w:rFonts w:ascii="Book Antiqua" w:hAnsi="Book Antiqua" w:cs="Book Antiqua"/>
          <w:sz w:val="24"/>
          <w:szCs w:val="24"/>
          <w:shd w:val="clear" w:color="auto" w:fill="FFFFFF"/>
        </w:rPr>
        <w:t>Towadi, M., Kasim, NM, Rumawi, R., &amp; Tahir, SA An Indication of China's Policy towards Uighurs and its Implications by International Law Aspects. Jambura Law Review. 3 No. 1 (2021).</w:t>
      </w:r>
    </w:p>
    <w:p w:rsidR="006E0198" w:rsidRDefault="007F6EAE">
      <w:pPr>
        <w:pStyle w:val="FootnoteText"/>
        <w:spacing w:after="200"/>
        <w:ind w:left="1134" w:hanging="1134"/>
        <w:jc w:val="both"/>
      </w:pPr>
      <w:r>
        <w:rPr>
          <w:rFonts w:ascii="Book Antiqua" w:hAnsi="Book Antiqua" w:cs="Book Antiqua"/>
          <w:sz w:val="24"/>
          <w:szCs w:val="24"/>
          <w:lang w:val="id-ID" w:eastAsia="en-US"/>
        </w:rPr>
        <w:t>Wantu, Fence M. Judges' Constraints in Creating Legal Certainty, Justice, and Benefits in Civil Courts. Journal of the Legal Pulpit. 25 No. 2, (2013). 205-218.</w:t>
      </w:r>
    </w:p>
    <w:p w:rsidR="006E0198" w:rsidRDefault="007F6EAE">
      <w:pPr>
        <w:spacing w:after="240"/>
        <w:ind w:left="993" w:hanging="993"/>
        <w:jc w:val="both"/>
        <w:rPr>
          <w:sz w:val="24"/>
          <w:szCs w:val="24"/>
          <w:lang w:val="id-ID"/>
        </w:rPr>
      </w:pPr>
      <w:r>
        <w:rPr>
          <w:rFonts w:ascii="Book Antiqua" w:hAnsi="Book Antiqua" w:cs="Book Antiqua"/>
          <w:sz w:val="24"/>
          <w:szCs w:val="24"/>
        </w:rPr>
        <w:t>Wantu, Fence M., and Abdul Hamid Tome. Dynamics of Village Head Election Arrangements. Jambura Law Review. 3 Special Issues, (2021).</w:t>
      </w:r>
    </w:p>
    <w:p w:rsidR="006E0198" w:rsidRDefault="007F6EAE">
      <w:pPr>
        <w:spacing w:line="240" w:lineRule="auto"/>
        <w:ind w:left="1134" w:hanging="1134"/>
        <w:jc w:val="both"/>
        <w:rPr>
          <w:rFonts w:ascii="Book Antiqua" w:hAnsi="Book Antiqua" w:cs="Book Antiqua"/>
          <w:sz w:val="24"/>
          <w:szCs w:val="24"/>
          <w:lang w:val="id-ID" w:eastAsia="en-US"/>
        </w:rPr>
      </w:pPr>
      <w:r>
        <w:rPr>
          <w:rFonts w:ascii="Book Antiqua" w:hAnsi="Book Antiqua" w:cs="Book Antiqua"/>
          <w:sz w:val="24"/>
          <w:szCs w:val="24"/>
        </w:rPr>
        <w:t>Wurnasari, Annissha Azzahra., et al. The impact of the assimilation of prisoners on the rise of crime in the midst of the covid-19 pandemic. Article. National Seminar And Call For Paper Hubisintek. (2020)</w:t>
      </w:r>
    </w:p>
    <w:p w:rsidR="006E0198" w:rsidRDefault="006E0198">
      <w:pPr>
        <w:spacing w:line="240" w:lineRule="auto"/>
        <w:ind w:left="1134" w:hanging="1134"/>
        <w:jc w:val="both"/>
        <w:rPr>
          <w:rFonts w:ascii="Book Antiqua" w:hAnsi="Book Antiqua" w:cs="Book Antiqua"/>
          <w:sz w:val="24"/>
          <w:szCs w:val="24"/>
          <w:lang w:val="id-ID" w:eastAsia="en-US"/>
        </w:rPr>
      </w:pPr>
    </w:p>
    <w:sectPr w:rsidR="006E0198">
      <w:footerReference w:type="even" r:id="rId13"/>
      <w:footerReference w:type="default" r:id="rId14"/>
      <w:footerReference w:type="first" r:id="rId15"/>
      <w:pgSz w:w="11906" w:h="16838"/>
      <w:pgMar w:top="1701" w:right="1701" w:bottom="1701" w:left="1701" w:header="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BB4" w:rsidRDefault="00EC2BB4">
      <w:pPr>
        <w:spacing w:after="0" w:line="240" w:lineRule="auto"/>
      </w:pPr>
      <w:r>
        <w:separator/>
      </w:r>
    </w:p>
  </w:endnote>
  <w:endnote w:type="continuationSeparator" w:id="0">
    <w:p w:rsidR="00EC2BB4" w:rsidRDefault="00EC2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Bold;Times New">
    <w:panose1 w:val="00000000000000000000"/>
    <w:charset w:val="00"/>
    <w:family w:val="roman"/>
    <w:notTrueType/>
    <w:pitch w:val="default"/>
  </w:font>
  <w:font w:name="SimSun;宋体">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Vrinda;Courier New">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imesNewRomanPSMT;Arial Unicode">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Bodoni Bd BT;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198" w:rsidRDefault="006E019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198" w:rsidRDefault="007F6EAE">
    <w:pPr>
      <w:pStyle w:val="Footer"/>
      <w:jc w:val="right"/>
    </w:pPr>
    <w:r>
      <w:t>Page |</w:t>
    </w:r>
    <w:r>
      <w:fldChar w:fldCharType="begin"/>
    </w:r>
    <w:r>
      <w:instrText>PAGE</w:instrText>
    </w:r>
    <w:r>
      <w:fldChar w:fldCharType="separate"/>
    </w:r>
    <w:r w:rsidR="00040640">
      <w:rPr>
        <w:noProof/>
      </w:rPr>
      <w:t>13</w:t>
    </w:r>
    <w:r>
      <w:fldChar w:fldCharType="end"/>
    </w:r>
    <w:r>
      <w:t xml:space="preserve"> </w:t>
    </w:r>
  </w:p>
  <w:p w:rsidR="006E0198" w:rsidRDefault="006E0198">
    <w:pPr>
      <w:pStyle w:val="Footer"/>
    </w:pPr>
  </w:p>
  <w:p w:rsidR="006E0198" w:rsidRDefault="006E0198"/>
  <w:p w:rsidR="006E0198" w:rsidRDefault="006E019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198" w:rsidRDefault="007F6EAE">
    <w:pPr>
      <w:pStyle w:val="Footer"/>
      <w:jc w:val="right"/>
    </w:pPr>
    <w:r>
      <w:t>Page |</w:t>
    </w:r>
    <w:r>
      <w:fldChar w:fldCharType="begin"/>
    </w:r>
    <w:r>
      <w:instrText>PAGE</w:instrText>
    </w:r>
    <w:r>
      <w:fldChar w:fldCharType="separate"/>
    </w:r>
    <w:r w:rsidR="00040640">
      <w:rPr>
        <w:noProof/>
      </w:rPr>
      <w:t>1</w:t>
    </w:r>
    <w:r>
      <w:fldChar w:fldCharType="end"/>
    </w:r>
    <w:r>
      <w:t xml:space="preserve"> </w:t>
    </w:r>
  </w:p>
  <w:p w:rsidR="006E0198" w:rsidRDefault="006E0198"/>
  <w:p w:rsidR="006E0198" w:rsidRDefault="006E0198"/>
  <w:p w:rsidR="006E0198" w:rsidRDefault="006E019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BB4" w:rsidRDefault="00EC2BB4">
      <w:pPr>
        <w:rPr>
          <w:sz w:val="12"/>
        </w:rPr>
      </w:pPr>
      <w:r>
        <w:separator/>
      </w:r>
    </w:p>
  </w:footnote>
  <w:footnote w:type="continuationSeparator" w:id="0">
    <w:p w:rsidR="00EC2BB4" w:rsidRDefault="00EC2BB4">
      <w:pPr>
        <w:rPr>
          <w:sz w:val="12"/>
        </w:rPr>
      </w:pPr>
      <w:r>
        <w:continuationSeparator/>
      </w:r>
    </w:p>
  </w:footnote>
  <w:footnote w:id="1">
    <w:p w:rsidR="006E0198" w:rsidRDefault="007F6EAE">
      <w:pPr>
        <w:pStyle w:val="FootnoteText"/>
        <w:jc w:val="both"/>
      </w:pPr>
      <w:r>
        <w:rPr>
          <w:rStyle w:val="FootnoteCharacters"/>
        </w:rPr>
        <w:footnoteRef/>
      </w:r>
      <w:r>
        <w:rPr>
          <w:rFonts w:ascii="Book Antiqua" w:hAnsi="Book Antiqua" w:cs="Book Antiqua"/>
        </w:rPr>
        <w:t>Tijow, Luciana Margareth. (2020). The Position of Village Regulations in the System of Formation of National Legislation. Ius Civile Journal. 4(2), 198</w:t>
      </w:r>
    </w:p>
  </w:footnote>
  <w:footnote w:id="2">
    <w:p w:rsidR="006E0198" w:rsidRDefault="007F6EAE">
      <w:pPr>
        <w:pStyle w:val="FootnoteText"/>
        <w:jc w:val="both"/>
      </w:pPr>
      <w:r>
        <w:rPr>
          <w:rStyle w:val="FootnoteCharacters"/>
        </w:rPr>
        <w:footnoteRef/>
      </w:r>
      <w:r>
        <w:rPr>
          <w:rFonts w:ascii="Book Antiqua" w:hAnsi="Book Antiqua" w:cs="Book Antiqua"/>
        </w:rPr>
        <w:t>Ahir, Nuvazria. (2020). Normative Annotation on Regional Regulations on Transparency. Jambura Law Review. 2(1), 85</w:t>
      </w:r>
    </w:p>
  </w:footnote>
  <w:footnote w:id="3">
    <w:p w:rsidR="006E0198" w:rsidRDefault="007F6EAE">
      <w:pPr>
        <w:pStyle w:val="FootnoteText"/>
        <w:jc w:val="both"/>
        <w:rPr>
          <w:rFonts w:ascii="Bodoni Bd BT;Times New Roman" w:hAnsi="Bodoni Bd BT;Times New Roman" w:cs="Bodoni Bd BT;Times New Roman"/>
          <w:lang w:val="id-ID"/>
        </w:rPr>
      </w:pPr>
      <w:r>
        <w:rPr>
          <w:rStyle w:val="FootnoteCharacters"/>
        </w:rPr>
        <w:footnoteRef/>
      </w:r>
      <w:r>
        <w:rPr>
          <w:rFonts w:ascii="Bodoni Bd BT;Times New Roman" w:hAnsi="Bodoni Bd BT;Times New Roman" w:cs="Bodoni Bd BT;Times New Roman"/>
        </w:rPr>
        <w:t xml:space="preserve"> </w:t>
      </w:r>
      <w:r>
        <w:rPr>
          <w:rFonts w:ascii="Book Antiqua" w:hAnsi="Book Antiqua" w:cs="Book Antiqua"/>
        </w:rPr>
        <w:t>Ahmad &amp; Nggilu, Novendri M.. (2019) The pulse of the Fifth Amendment of the 1945 Constitution through the Involvement of the Constitutional Court as the Guardian Principle of the Constitution. Constitutional Journal. 16(1), 791</w:t>
      </w:r>
    </w:p>
  </w:footnote>
  <w:footnote w:id="4">
    <w:p w:rsidR="006E0198" w:rsidRDefault="007F6EAE">
      <w:pPr>
        <w:pStyle w:val="FootnoteText"/>
        <w:jc w:val="both"/>
        <w:rPr>
          <w:rFonts w:ascii="Book Antiqua" w:hAnsi="Book Antiqua" w:cs="Book Antiqua"/>
        </w:rPr>
      </w:pPr>
      <w:r>
        <w:rPr>
          <w:rStyle w:val="FootnoteCharacters"/>
        </w:rPr>
        <w:footnoteRef/>
      </w:r>
      <w:r>
        <w:rPr>
          <w:rFonts w:ascii="Book Antiqua" w:hAnsi="Book Antiqua" w:cs="Book Antiqua"/>
        </w:rPr>
        <w:t>Tom, Abdul Hamid. (2020). Grounding Pancasila: Efforts to Institutionalize Pancasila Values ​​in Village Community Life. Journal of Al-'Adl. 13(1), 118</w:t>
      </w:r>
    </w:p>
  </w:footnote>
  <w:footnote w:id="5">
    <w:p w:rsidR="006E0198" w:rsidRDefault="007F6EAE">
      <w:pPr>
        <w:pStyle w:val="FootnoteText"/>
        <w:jc w:val="both"/>
        <w:rPr>
          <w:rFonts w:ascii="Book Antiqua" w:hAnsi="Book Antiqua" w:cs="Book Antiqua"/>
        </w:rPr>
      </w:pPr>
      <w:r>
        <w:rPr>
          <w:rStyle w:val="FootnoteCharacters"/>
        </w:rPr>
        <w:footnoteRef/>
      </w:r>
      <w:r>
        <w:rPr>
          <w:rFonts w:ascii="Book Antiqua" w:hAnsi="Book Antiqua" w:cs="Book Antiqua"/>
        </w:rPr>
        <w:t xml:space="preserve"> </w:t>
      </w:r>
      <w:r>
        <w:rPr>
          <w:rFonts w:ascii="Book Antiqua" w:hAnsi="Book Antiqua" w:cs="Arial"/>
          <w:shd w:val="clear" w:color="auto" w:fill="FFFFFF"/>
        </w:rPr>
        <w:t>Puluhulawa, MRU, &amp; Husain, R. (2021). Body Shaming Through Social Media As a Digital Crime In The Era of Disruption. Jambura Law Review, 3</w:t>
      </w:r>
      <w:r>
        <w:rPr>
          <w:rFonts w:ascii="Book Antiqua" w:hAnsi="Book Antiqua" w:cs="Book Antiqua"/>
          <w:shd w:val="clear" w:color="auto" w:fill="FFFFFF"/>
        </w:rPr>
        <w:t>(1), 117</w:t>
      </w:r>
    </w:p>
  </w:footnote>
  <w:footnote w:id="6">
    <w:p w:rsidR="006E0198" w:rsidRDefault="007F6EAE">
      <w:pPr>
        <w:pStyle w:val="FootnoteText"/>
        <w:jc w:val="both"/>
      </w:pPr>
      <w:r>
        <w:rPr>
          <w:rStyle w:val="FootnoteCharacters"/>
        </w:rPr>
        <w:footnoteRef/>
      </w:r>
      <w:r>
        <w:rPr>
          <w:rFonts w:ascii="Book Antiqua" w:hAnsi="Book Antiqua" w:cs="Book Antiqua"/>
        </w:rPr>
        <w:t>AS Alam and Amir Ilyas. Criminology An Introduction. (Jakarta: Prenadamedia Group, 2018), 29</w:t>
      </w:r>
    </w:p>
  </w:footnote>
  <w:footnote w:id="7">
    <w:p w:rsidR="006E0198" w:rsidRDefault="007F6EAE">
      <w:pPr>
        <w:pStyle w:val="FootnoteText"/>
        <w:jc w:val="both"/>
        <w:rPr>
          <w:rFonts w:ascii="Book Antiqua" w:hAnsi="Book Antiqua" w:cs="Book Antiqua"/>
        </w:rPr>
      </w:pPr>
      <w:r>
        <w:rPr>
          <w:rStyle w:val="FootnoteCharacters"/>
        </w:rPr>
        <w:footnoteRef/>
      </w:r>
      <w:r>
        <w:rPr>
          <w:rFonts w:ascii="Book Antiqua" w:hAnsi="Book Antiqua" w:cs="Book Antiqua"/>
        </w:rPr>
        <w:t xml:space="preserve"> </w:t>
      </w:r>
      <w:r>
        <w:rPr>
          <w:rFonts w:ascii="Book Antiqua" w:eastAsia="Times New Roman" w:hAnsi="Book Antiqua" w:cs="Book Antiqua"/>
          <w:lang w:eastAsia="id-ID"/>
        </w:rPr>
        <w:t>Alhasni, Mohamad Rizky., Badu, Lisnawaty W., &amp; Nggilu, Novendri M. (2019). Assessing the Role of the Police in Preventing the Crime of Obscenity Against Minors. Legality Journal. 12(2), 112</w:t>
      </w:r>
    </w:p>
  </w:footnote>
  <w:footnote w:id="8">
    <w:p w:rsidR="006E0198" w:rsidRDefault="007F6EAE">
      <w:pPr>
        <w:pStyle w:val="FootnoteText"/>
        <w:jc w:val="both"/>
      </w:pPr>
      <w:r>
        <w:rPr>
          <w:rStyle w:val="FootnoteCharacters"/>
        </w:rPr>
        <w:footnoteRef/>
      </w:r>
      <w:r>
        <w:rPr>
          <w:rFonts w:ascii="Book Antiqua" w:hAnsi="Book Antiqua" w:cs="Book Antiqua"/>
        </w:rPr>
        <w:t>Personal, Doni. Legal Protection of Children in Conflict with the Law. Legal Journal of the National Legal Education Pulpit. 3(1), 1-2.</w:t>
      </w:r>
    </w:p>
  </w:footnote>
  <w:footnote w:id="9">
    <w:p w:rsidR="006E0198" w:rsidRDefault="007F6EAE">
      <w:pPr>
        <w:pStyle w:val="FootnoteText"/>
        <w:jc w:val="both"/>
      </w:pPr>
      <w:r>
        <w:rPr>
          <w:rStyle w:val="FootnoteCharacters"/>
        </w:rPr>
        <w:footnoteRef/>
      </w:r>
      <w:r>
        <w:rPr>
          <w:rFonts w:ascii="Book Antiqua" w:hAnsi="Book Antiqua" w:cs="Book Antiqua"/>
          <w:lang w:val="id-ID" w:eastAsia="en-US"/>
        </w:rPr>
        <w:t>Fence M. Wantu. Criminal Procedure Law. (Yokyakarta: Reviva Cendekia, 2011), 13</w:t>
      </w:r>
    </w:p>
  </w:footnote>
  <w:footnote w:id="10">
    <w:p w:rsidR="006E0198" w:rsidRDefault="007F6EAE">
      <w:pPr>
        <w:pStyle w:val="FootnoteText"/>
        <w:jc w:val="both"/>
      </w:pPr>
      <w:r>
        <w:rPr>
          <w:rStyle w:val="FootnoteCharacters"/>
        </w:rPr>
        <w:footnoteRef/>
      </w:r>
      <w:r>
        <w:rPr>
          <w:rFonts w:ascii="Book Antiqua" w:hAnsi="Book Antiqua" w:cs="Book Antiqua"/>
          <w:lang w:val="id-ID" w:eastAsia="en-US"/>
        </w:rPr>
        <w:t>Puluhulawa, Jufryanto., Towadi, Mellisa., &amp; Swarianata, Vifi. (2020). Leato / Japanese Cargo Wreck Underwater Site Legal Protection. Journal of Legal Reform, 24(2), 197</w:t>
      </w:r>
    </w:p>
  </w:footnote>
  <w:footnote w:id="11">
    <w:p w:rsidR="006E0198" w:rsidRDefault="007F6EAE">
      <w:pPr>
        <w:pStyle w:val="FootnoteText"/>
        <w:jc w:val="both"/>
        <w:rPr>
          <w:rFonts w:ascii="Book Antiqua" w:hAnsi="Book Antiqua" w:cs="Book Antiqua"/>
        </w:rPr>
      </w:pPr>
      <w:r>
        <w:rPr>
          <w:rStyle w:val="FootnoteCharacters"/>
        </w:rPr>
        <w:footnoteRef/>
      </w:r>
      <w:r>
        <w:rPr>
          <w:rFonts w:ascii="Book Antiqua" w:hAnsi="Book Antiqua" w:cs="Book Antiqua"/>
        </w:rPr>
        <w:t>Mandjo, J., &amp; Sarson, MTZ (2021). The Right to Obtain Free Assistance and Legal Protection for The Indigent People Through Legal Assistance Organizations. Jambura Law Review. 3(2), 370</w:t>
      </w:r>
    </w:p>
  </w:footnote>
  <w:footnote w:id="12">
    <w:p w:rsidR="006E0198" w:rsidRDefault="007F6EAE">
      <w:pPr>
        <w:pStyle w:val="FootnoteText"/>
        <w:jc w:val="both"/>
      </w:pPr>
      <w:r>
        <w:rPr>
          <w:rStyle w:val="FootnoteCharacters"/>
        </w:rPr>
        <w:footnoteRef/>
      </w:r>
      <w:r>
        <w:rPr>
          <w:rFonts w:ascii="Book Antiqua" w:hAnsi="Book Antiqua" w:cs="Book Antiqua"/>
          <w:lang w:val="id-ID" w:eastAsia="en-US"/>
        </w:rPr>
        <w:t>Ismail, Dian Ekawaty., &amp; Sarson, Mohamad Taufiq Zulfikar. (2021). Criminology Analysis of Women's as Perpetrators of Domestic Violence Crimes. Journal of Law Review. 3(3), 58</w:t>
      </w:r>
    </w:p>
  </w:footnote>
  <w:footnote w:id="13">
    <w:p w:rsidR="006E0198" w:rsidRDefault="007F6EAE">
      <w:pPr>
        <w:pStyle w:val="FootnoteText"/>
        <w:ind w:left="142" w:hanging="142"/>
        <w:jc w:val="both"/>
      </w:pPr>
      <w:r>
        <w:rPr>
          <w:rStyle w:val="FootnoteCharacters"/>
        </w:rPr>
        <w:footnoteRef/>
      </w:r>
      <w:r>
        <w:rPr>
          <w:rFonts w:ascii="Book Antiqua" w:hAnsi="Book Antiqua" w:cs="Book Antiqua"/>
          <w:lang w:val="id-ID" w:eastAsia="en-US"/>
        </w:rPr>
        <w:tab/>
        <w:t>Daffodil, Dolot Alhasni. (2020). Determination of Legal Protection for Neighboring Right Holders.</w:t>
      </w:r>
      <w:r>
        <w:rPr>
          <w:rFonts w:ascii="Book Antiqua" w:hAnsi="Book Antiqua" w:cs="Book Antiqua"/>
          <w:i/>
          <w:lang w:val="id-ID" w:eastAsia="en-US"/>
        </w:rPr>
        <w:t>Journal of Law Review.</w:t>
      </w:r>
      <w:r>
        <w:rPr>
          <w:rFonts w:ascii="Book Antiqua" w:hAnsi="Book Antiqua" w:cs="Book Antiqua"/>
          <w:lang w:val="id-ID" w:eastAsia="en-US"/>
        </w:rPr>
        <w:t>2(1), 67</w:t>
      </w:r>
    </w:p>
  </w:footnote>
  <w:footnote w:id="14">
    <w:p w:rsidR="006E0198" w:rsidRDefault="007F6EAE">
      <w:pPr>
        <w:pStyle w:val="FootnoteText"/>
        <w:ind w:left="142" w:hanging="142"/>
        <w:jc w:val="both"/>
      </w:pPr>
      <w:r>
        <w:rPr>
          <w:rStyle w:val="FootnoteCharacters"/>
        </w:rPr>
        <w:footnoteRef/>
      </w:r>
      <w:r>
        <w:rPr>
          <w:rFonts w:ascii="Book Antiqua" w:hAnsi="Book Antiqua" w:cs="Book Antiqua"/>
          <w:lang w:val="id-ID" w:eastAsia="en-US"/>
        </w:rPr>
        <w:tab/>
        <w:t xml:space="preserve"> Puluhulawa, Fenty., Tujow, Lusiana M., &amp; Sutrisno. (2020). Application of the Principles of Justice, Legal Certainty and Benefit in Judge's Decisions. Gorontalo Law Review Journal. 3, (2), 184</w:t>
      </w:r>
    </w:p>
  </w:footnote>
  <w:footnote w:id="15">
    <w:p w:rsidR="006E0198" w:rsidRDefault="007F6EAE">
      <w:pPr>
        <w:spacing w:after="0"/>
        <w:jc w:val="both"/>
        <w:rPr>
          <w:rFonts w:ascii="Book Antiqua" w:hAnsi="Book Antiqua" w:cs="Book Antiqua"/>
          <w:sz w:val="20"/>
          <w:szCs w:val="20"/>
        </w:rPr>
      </w:pPr>
      <w:r>
        <w:rPr>
          <w:rStyle w:val="FootnoteCharacters"/>
        </w:rPr>
        <w:footnoteRef/>
      </w:r>
      <w:r>
        <w:rPr>
          <w:rFonts w:ascii="Book Antiqua" w:hAnsi="Book Antiqua" w:cs="Book Antiqua"/>
          <w:sz w:val="20"/>
          <w:szCs w:val="20"/>
        </w:rPr>
        <w:t>Towadi, M., Kasim, NM, Rumawi, R., &amp; Tahir, SA (2021). An Indication of China's Policy towards Uighurs and its Implications by International Law Aspects. Jambura Law Review. 3( 1), 66</w:t>
      </w:r>
    </w:p>
  </w:footnote>
  <w:footnote w:id="16">
    <w:p w:rsidR="006E0198" w:rsidRDefault="007F6EAE">
      <w:pPr>
        <w:pStyle w:val="FootnoteText"/>
        <w:jc w:val="both"/>
      </w:pPr>
      <w:r>
        <w:rPr>
          <w:rStyle w:val="FootnoteCharacters"/>
        </w:rPr>
        <w:footnoteRef/>
      </w:r>
      <w:r>
        <w:rPr>
          <w:rFonts w:ascii="Book Antiqua" w:hAnsi="Book Antiqua" w:cs="Book Antiqua"/>
        </w:rPr>
        <w:t>Badu, Lisnawaty. W., &amp; Apripari, A. (2019). Initiating Military Crimes as Absolute Competence of Military Courts in Criminal Cases. Legality Journal. 12(1), 61</w:t>
      </w:r>
    </w:p>
  </w:footnote>
  <w:footnote w:id="17">
    <w:p w:rsidR="006E0198" w:rsidRDefault="007F6EAE">
      <w:pPr>
        <w:pStyle w:val="FootnoteText"/>
        <w:jc w:val="both"/>
      </w:pPr>
      <w:r>
        <w:rPr>
          <w:rStyle w:val="FootnoteCharacters"/>
        </w:rPr>
        <w:footnoteRef/>
      </w:r>
      <w:r>
        <w:rPr>
          <w:rFonts w:ascii="Book Antiqua" w:hAnsi="Book Antiqua" w:cs="Book Antiqua"/>
        </w:rPr>
        <w:t>Law of the Republic of Indonesia Number. 11 of 2012 concerning the Juvenile Criminal Justice System.</w:t>
      </w:r>
    </w:p>
  </w:footnote>
  <w:footnote w:id="18">
    <w:p w:rsidR="006E0198" w:rsidRDefault="007F6EAE">
      <w:pPr>
        <w:pStyle w:val="FootnoteText"/>
        <w:jc w:val="both"/>
      </w:pPr>
      <w:r>
        <w:rPr>
          <w:rStyle w:val="FootnoteCharacters"/>
        </w:rPr>
        <w:footnoteRef/>
      </w:r>
      <w:r>
        <w:rPr>
          <w:rFonts w:ascii="Book Antiqua" w:hAnsi="Book Antiqua" w:cs="Book Antiqua"/>
          <w:lang w:val="id-ID" w:eastAsia="en-US"/>
        </w:rPr>
        <w:t>Nggilu, Novendri M. (2020). Juridical Review of Criminal Sanction Arrangements in Gorontalo Provincial Regulations. Lambung Mangkurat Law Journal. 5(2), 110</w:t>
      </w:r>
    </w:p>
  </w:footnote>
  <w:footnote w:id="19">
    <w:p w:rsidR="006E0198" w:rsidRDefault="007F6EAE">
      <w:pPr>
        <w:pStyle w:val="FootnoteText"/>
        <w:jc w:val="both"/>
      </w:pPr>
      <w:r>
        <w:rPr>
          <w:rStyle w:val="FootnoteCharacters"/>
        </w:rPr>
        <w:footnoteRef/>
      </w:r>
      <w:r>
        <w:rPr>
          <w:rFonts w:ascii="Book Antiqua" w:hAnsi="Book Antiqua" w:cs="Book Antiqua"/>
        </w:rPr>
        <w:t>Achir, Nuvazria, and Sri Nanang Meiske Kamba. (2021). The function of sharia-based Regional Regulations on Education and Social Services in the Regions. Jambura Law Review. 3 Special Issues, 16</w:t>
      </w:r>
    </w:p>
  </w:footnote>
  <w:footnote w:id="20">
    <w:p w:rsidR="006E0198" w:rsidRDefault="007F6EAE">
      <w:pPr>
        <w:spacing w:after="0" w:line="240" w:lineRule="auto"/>
        <w:jc w:val="both"/>
      </w:pPr>
      <w:r>
        <w:rPr>
          <w:rStyle w:val="FootnoteCharacters"/>
        </w:rPr>
        <w:footnoteRef/>
      </w:r>
      <w:r>
        <w:rPr>
          <w:rFonts w:ascii="Book Antiqua" w:hAnsi="Book Antiqua" w:cs="Book Antiqua"/>
          <w:sz w:val="20"/>
          <w:szCs w:val="20"/>
        </w:rPr>
        <w:t>Lakoro, Aniza, Badu, Lisnawaty W., &amp; Achir, Nuvazria. (2020). Weak Police in Handling Crimes of Online Togel Gambling”. Legality Journal. 13(1), 36</w:t>
      </w:r>
    </w:p>
  </w:footnote>
  <w:footnote w:id="21">
    <w:p w:rsidR="006E0198" w:rsidRDefault="007F6EAE">
      <w:pPr>
        <w:pStyle w:val="FootnoteText"/>
        <w:jc w:val="both"/>
      </w:pPr>
      <w:r>
        <w:rPr>
          <w:rStyle w:val="FootnoteCharacters"/>
        </w:rPr>
        <w:footnoteRef/>
      </w:r>
      <w:r>
        <w:rPr>
          <w:rFonts w:ascii="Book Antiqua" w:hAnsi="Book Antiqua" w:cs="Book Antiqua"/>
        </w:rPr>
        <w:t>Wantu, Fence M., and Abdul Hamid Tome. (2021). Dynamics of Village Head Election Arrangements. Jambura Law Review. 3 Special Issues, 101</w:t>
      </w:r>
    </w:p>
  </w:footnote>
  <w:footnote w:id="22">
    <w:p w:rsidR="006E0198" w:rsidRDefault="007F6EAE">
      <w:pPr>
        <w:pStyle w:val="FootnoteText"/>
        <w:ind w:left="142" w:hanging="142"/>
        <w:jc w:val="both"/>
      </w:pPr>
      <w:r>
        <w:rPr>
          <w:rStyle w:val="FootnoteCharacters"/>
        </w:rPr>
        <w:footnoteRef/>
      </w:r>
      <w:r>
        <w:rPr>
          <w:rFonts w:ascii="Book Antiqua" w:hAnsi="Book Antiqua" w:cs="Book Antiqua"/>
          <w:lang w:val="id-ID" w:eastAsia="en-US"/>
        </w:rPr>
        <w:tab/>
        <w:t>Badu, Lisnawaty. (2012). Euthanasia and Human Rights.</w:t>
      </w:r>
      <w:r>
        <w:rPr>
          <w:rFonts w:ascii="Book Antiqua" w:hAnsi="Book Antiqua" w:cs="Book Antiqua"/>
          <w:i/>
          <w:lang w:val="id-ID" w:eastAsia="en-US"/>
        </w:rPr>
        <w:t>Legality Journal</w:t>
      </w:r>
      <w:r>
        <w:rPr>
          <w:rFonts w:ascii="Book Antiqua" w:hAnsi="Book Antiqua" w:cs="Book Antiqua"/>
          <w:lang w:val="id-ID" w:eastAsia="en-US"/>
        </w:rPr>
        <w:t>. 5(1), 1</w:t>
      </w:r>
    </w:p>
  </w:footnote>
  <w:footnote w:id="23">
    <w:p w:rsidR="006E0198" w:rsidRDefault="007F6EAE">
      <w:pPr>
        <w:pStyle w:val="FootnoteText"/>
        <w:ind w:left="142" w:hanging="142"/>
        <w:jc w:val="both"/>
      </w:pPr>
      <w:r>
        <w:rPr>
          <w:rStyle w:val="FootnoteCharacters"/>
        </w:rPr>
        <w:footnoteRef/>
      </w:r>
      <w:r>
        <w:rPr>
          <w:rFonts w:ascii="Book Antiqua" w:hAnsi="Book Antiqua" w:cs="Book Antiqua"/>
          <w:lang w:val="id-ID" w:eastAsia="en-US"/>
        </w:rPr>
        <w:tab/>
        <w:t>Tijow, Luciana. Protection of Human Rights to the Right to Life of Children in the womb outside of a legal marriage.</w:t>
      </w:r>
      <w:r>
        <w:rPr>
          <w:rFonts w:ascii="Book Antiqua" w:hAnsi="Book Antiqua" w:cs="Book Antiqua"/>
          <w:i/>
          <w:lang w:val="id-ID" w:eastAsia="en-US"/>
        </w:rPr>
        <w:t>Legality Journal</w:t>
      </w:r>
      <w:r>
        <w:rPr>
          <w:rFonts w:ascii="Book Antiqua" w:hAnsi="Book Antiqua" w:cs="Book Antiqua"/>
          <w:lang w:val="id-ID" w:eastAsia="en-US"/>
        </w:rPr>
        <w:t>. 3 (2), 80</w:t>
      </w:r>
    </w:p>
  </w:footnote>
  <w:footnote w:id="24">
    <w:p w:rsidR="006E0198" w:rsidRDefault="007F6EAE">
      <w:pPr>
        <w:pStyle w:val="FootnoteText"/>
        <w:jc w:val="both"/>
      </w:pPr>
      <w:r>
        <w:rPr>
          <w:rStyle w:val="FootnoteCharacters"/>
        </w:rPr>
        <w:footnoteRef/>
      </w:r>
      <w:r>
        <w:rPr>
          <w:rFonts w:ascii="Book Antiqua" w:hAnsi="Book Antiqua" w:cs="Book Antiqua"/>
          <w:lang w:val="id-ID" w:eastAsia="en-US"/>
        </w:rPr>
        <w:t>Fajar, Mukti &amp; Achmad, Yulianto. Dualism in Legal Research (Normative and Empirical), (Yogyakarta: Pustaka Pelajar, 2010), 153.</w:t>
      </w:r>
    </w:p>
  </w:footnote>
  <w:footnote w:id="25">
    <w:p w:rsidR="006E0198" w:rsidRDefault="007F6EAE">
      <w:pPr>
        <w:pStyle w:val="FootnoteText"/>
        <w:jc w:val="both"/>
      </w:pPr>
      <w:r>
        <w:rPr>
          <w:rStyle w:val="FootnoteCharacters"/>
        </w:rPr>
        <w:footnoteRef/>
      </w:r>
      <w:r>
        <w:rPr>
          <w:rFonts w:ascii="Book Antiqua" w:hAnsi="Book Antiqua" w:cs="Book Antiqua"/>
        </w:rPr>
        <w:t>Santiago, Faisal. (2017). Law Enforcement of Corruption Crimes by Law Enforcers for the Creation of Legal Order. Pagaruyung Law Journal. 1 (1), 23</w:t>
      </w:r>
    </w:p>
  </w:footnote>
  <w:footnote w:id="26">
    <w:p w:rsidR="006E0198" w:rsidRDefault="007F6EAE">
      <w:pPr>
        <w:pStyle w:val="FootnoteText"/>
        <w:jc w:val="both"/>
      </w:pPr>
      <w:r>
        <w:rPr>
          <w:rStyle w:val="FootnoteCharacters"/>
        </w:rPr>
        <w:footnoteRef/>
      </w:r>
      <w:r>
        <w:rPr>
          <w:rFonts w:ascii="Book Antiqua" w:hAnsi="Book Antiqua" w:cs="Book Antiqua"/>
        </w:rPr>
        <w:t>Wurnasari, Annissha Azzahra, et al. (2020). The Impact of Prisoners Assimilation on the Rise of Crime Amid the Covid-19 Pandemic Article. National Seminar And Call For Paper Hubisintek, 23</w:t>
      </w:r>
    </w:p>
  </w:footnote>
  <w:footnote w:id="27">
    <w:p w:rsidR="006E0198" w:rsidRDefault="007F6EAE">
      <w:pPr>
        <w:pStyle w:val="FootnoteText"/>
        <w:jc w:val="both"/>
      </w:pPr>
      <w:r>
        <w:rPr>
          <w:rStyle w:val="FootnoteCharacters"/>
        </w:rPr>
        <w:footnoteRef/>
      </w:r>
      <w:r>
        <w:rPr>
          <w:rFonts w:ascii="Book Antiqua" w:hAnsi="Book Antiqua" w:cs="Book Antiqua"/>
        </w:rPr>
        <w:t>The results of the interview with Mr. Irfan Hamim, Head of the Education and Community Guidance Subsection of the Class II A Children's Special Guidance Institute, Gorontalo. Tuesday, June 21, 2022.</w:t>
      </w:r>
    </w:p>
  </w:footnote>
  <w:footnote w:id="28">
    <w:p w:rsidR="006E0198" w:rsidRDefault="007F6EAE">
      <w:pPr>
        <w:spacing w:after="0"/>
        <w:jc w:val="both"/>
        <w:rPr>
          <w:rFonts w:ascii="Book Antiqua" w:eastAsia="Times New Roman" w:hAnsi="Book Antiqua" w:cs="Book Antiqua"/>
          <w:sz w:val="24"/>
          <w:szCs w:val="24"/>
        </w:rPr>
      </w:pPr>
      <w:r>
        <w:rPr>
          <w:rStyle w:val="FootnoteCharacters"/>
        </w:rPr>
        <w:footnoteRef/>
      </w:r>
      <w:r>
        <w:rPr>
          <w:rFonts w:ascii="Book Antiqua" w:hAnsi="Book Antiqua" w:cs="Book Antiqua"/>
        </w:rPr>
        <w:t xml:space="preserve"> </w:t>
      </w:r>
      <w:r>
        <w:rPr>
          <w:rFonts w:ascii="Book Antiqua" w:eastAsia="Times New Roman" w:hAnsi="Book Antiqua" w:cs="Book Antiqua"/>
          <w:sz w:val="20"/>
          <w:szCs w:val="20"/>
        </w:rPr>
        <w:t>Atmasasmita, Romli. Criminal Justice System Perspective of Existentialism and Abolism. (Bandung : Binacipta, 2019), 64</w:t>
      </w:r>
    </w:p>
  </w:footnote>
  <w:footnote w:id="29">
    <w:p w:rsidR="006E0198" w:rsidRDefault="007F6EAE">
      <w:pPr>
        <w:spacing w:after="0" w:line="240" w:lineRule="auto"/>
        <w:jc w:val="both"/>
        <w:rPr>
          <w:rFonts w:ascii="Book Antiqua" w:eastAsia="Times New Roman" w:hAnsi="Book Antiqua" w:cs="Book Antiqua"/>
          <w:sz w:val="20"/>
          <w:szCs w:val="20"/>
        </w:rPr>
      </w:pPr>
      <w:r>
        <w:rPr>
          <w:rStyle w:val="FootnoteCharacters"/>
        </w:rPr>
        <w:footnoteRef/>
      </w:r>
      <w:r>
        <w:rPr>
          <w:rFonts w:ascii="Book Antiqua" w:hAnsi="Book Antiqua" w:cs="Book Antiqua"/>
        </w:rPr>
        <w:t>Panungkelan, Waraney CV (2016).</w:t>
      </w:r>
      <w:r>
        <w:rPr>
          <w:rFonts w:ascii="Book Antiqua" w:eastAsia="Times New Roman" w:hAnsi="Book Antiqua" w:cs="Book Antiqua"/>
          <w:bCs/>
          <w:iCs/>
          <w:sz w:val="20"/>
          <w:szCs w:val="20"/>
        </w:rPr>
        <w:t>Implementation of Assimilation in Rutan According to Law Number 12 of 1995 concerning Corrections</w:t>
      </w:r>
      <w:r>
        <w:rPr>
          <w:rFonts w:ascii="Book Antiqua" w:eastAsia="Times New Roman" w:hAnsi="Book Antiqua" w:cs="Book Antiqua"/>
          <w:bCs/>
          <w:i/>
          <w:sz w:val="20"/>
          <w:szCs w:val="20"/>
          <w:lang w:val="id-ID"/>
        </w:rPr>
        <w:t>. Journal of Lex Crimen</w:t>
      </w:r>
      <w:r>
        <w:rPr>
          <w:rFonts w:ascii="Book Antiqua" w:eastAsia="Times New Roman" w:hAnsi="Book Antiqua" w:cs="Book Antiqua"/>
          <w:bCs/>
          <w:sz w:val="20"/>
          <w:szCs w:val="20"/>
        </w:rPr>
        <w:t>. 5(4), 103</w:t>
      </w:r>
    </w:p>
  </w:footnote>
  <w:footnote w:id="30">
    <w:p w:rsidR="006E0198" w:rsidRDefault="007F6EAE">
      <w:pPr>
        <w:pStyle w:val="FootnoteText"/>
        <w:ind w:left="142" w:hanging="142"/>
        <w:jc w:val="both"/>
      </w:pPr>
      <w:r>
        <w:rPr>
          <w:rStyle w:val="FootnoteCharacters"/>
        </w:rPr>
        <w:footnoteRef/>
      </w:r>
      <w:r>
        <w:rPr>
          <w:rFonts w:ascii="Book Antiqua" w:hAnsi="Book Antiqua" w:cs="Book Antiqua"/>
          <w:lang w:val="id-ID" w:eastAsia="en-US"/>
        </w:rPr>
        <w:tab/>
        <w:t>Wantu, Fence M. (2013). Judge's Obstacles in Creating Legal Certainty, Justice, and Benefits in Civil Courts</w:t>
      </w:r>
      <w:r>
        <w:rPr>
          <w:rFonts w:ascii="Book Antiqua" w:hAnsi="Book Antiqua" w:cs="Book Antiqua"/>
          <w:i/>
          <w:lang w:val="id-ID" w:eastAsia="en-US"/>
        </w:rPr>
        <w:t>. Legal Pulpit Journal</w:t>
      </w:r>
      <w:r>
        <w:rPr>
          <w:rFonts w:ascii="Book Antiqua" w:hAnsi="Book Antiqua" w:cs="Book Antiqua"/>
          <w:lang w:val="id-ID" w:eastAsia="en-US"/>
        </w:rPr>
        <w:t>, 25 (2), 206</w:t>
      </w:r>
    </w:p>
  </w:footnote>
  <w:footnote w:id="31">
    <w:p w:rsidR="006E0198" w:rsidRDefault="007F6EAE">
      <w:pPr>
        <w:pStyle w:val="FootnoteText"/>
        <w:jc w:val="both"/>
      </w:pPr>
      <w:r>
        <w:rPr>
          <w:rStyle w:val="FootnoteCharacters"/>
        </w:rPr>
        <w:footnoteRef/>
      </w:r>
      <w:r>
        <w:rPr>
          <w:rFonts w:ascii="Book Antiqua" w:hAnsi="Book Antiqua" w:cs="Book Antiqua"/>
          <w:lang w:val="id-ID" w:eastAsia="en-US"/>
        </w:rPr>
        <w:t>Imran, Suwitno Y. (2021). The Urgency of Regulation of the Ultra Qui Judicat Principle in Criminal Judgments. Journal of Law Review. 3(2), 398</w:t>
      </w:r>
    </w:p>
  </w:footnote>
  <w:footnote w:id="32">
    <w:p w:rsidR="006E0198" w:rsidRDefault="007F6EAE">
      <w:pPr>
        <w:pStyle w:val="FootnoteText"/>
        <w:jc w:val="both"/>
      </w:pPr>
      <w:r>
        <w:rPr>
          <w:rStyle w:val="FootnoteCharacters"/>
        </w:rPr>
        <w:footnoteRef/>
      </w:r>
      <w:r>
        <w:rPr>
          <w:rFonts w:ascii="Book Antiqua" w:hAnsi="Book Antiqua" w:cs="Book Antiqua"/>
        </w:rPr>
        <w:t>Soekanto, Soerjono. Introduction to Legal Research. (Jakarta: UI- Press, 2010), 11</w:t>
      </w:r>
    </w:p>
  </w:footnote>
  <w:footnote w:id="33">
    <w:p w:rsidR="006E0198" w:rsidRDefault="007F6EAE">
      <w:pPr>
        <w:pStyle w:val="FootnoteText"/>
        <w:jc w:val="both"/>
      </w:pPr>
      <w:r>
        <w:rPr>
          <w:rStyle w:val="FootnoteCharacters"/>
        </w:rPr>
        <w:footnoteRef/>
      </w:r>
      <w:r>
        <w:rPr>
          <w:rFonts w:ascii="Book Antiqua" w:hAnsi="Book Antiqua" w:cs="Book Antiqua"/>
        </w:rPr>
        <w:t>Solekha, RR, Wantu, F., &amp; Tijow, L. (2020). Law Enforcement Against Money Politic Crime by Candidates for Legislative Members in the 2019 General Election. Jurnal Legalitas. 13 (01), 68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F6BBF"/>
    <w:multiLevelType w:val="multilevel"/>
    <w:tmpl w:val="7D22F1C0"/>
    <w:lvl w:ilvl="0">
      <w:start w:val="1"/>
      <w:numFmt w:val="decimal"/>
      <w:lvlText w:val="%1."/>
      <w:lvlJc w:val="left"/>
      <w:pPr>
        <w:tabs>
          <w:tab w:val="num" w:pos="0"/>
        </w:tabs>
        <w:ind w:left="78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614409"/>
    <w:multiLevelType w:val="multilevel"/>
    <w:tmpl w:val="9D427E44"/>
    <w:lvl w:ilvl="0">
      <w:start w:val="1"/>
      <w:numFmt w:val="decimal"/>
      <w:lvlText w:val="%1."/>
      <w:lvlJc w:val="left"/>
      <w:pPr>
        <w:tabs>
          <w:tab w:val="num" w:pos="0"/>
        </w:tabs>
        <w:ind w:left="360" w:hanging="360"/>
      </w:pPr>
      <w:rPr>
        <w:rFonts w:ascii="Book Antiqua" w:hAnsi="Book Antiqua" w:cs="Book Antiqua"/>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E75AF8"/>
    <w:multiLevelType w:val="multilevel"/>
    <w:tmpl w:val="27266A1C"/>
    <w:lvl w:ilvl="0">
      <w:start w:val="1"/>
      <w:numFmt w:val="decimal"/>
      <w:lvlText w:val="%1."/>
      <w:lvlJc w:val="left"/>
      <w:pPr>
        <w:tabs>
          <w:tab w:val="num" w:pos="0"/>
        </w:tabs>
        <w:ind w:left="360" w:hanging="360"/>
      </w:pPr>
      <w:rPr>
        <w:rFonts w:eastAsia="Calibri" w:cs="Arial"/>
        <w:b/>
        <w:bCs/>
        <w:i w:val="0"/>
        <w:iCs/>
        <w:sz w:val="28"/>
        <w:szCs w:val="28"/>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FF3FA2"/>
    <w:multiLevelType w:val="multilevel"/>
    <w:tmpl w:val="C85AA5F0"/>
    <w:lvl w:ilvl="0">
      <w:start w:val="1"/>
      <w:numFmt w:val="decimal"/>
      <w:lvlText w:val="%1."/>
      <w:lvlJc w:val="left"/>
      <w:pPr>
        <w:tabs>
          <w:tab w:val="num" w:pos="0"/>
        </w:tabs>
        <w:ind w:left="64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4A3200D"/>
    <w:multiLevelType w:val="multilevel"/>
    <w:tmpl w:val="9226569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960C9E"/>
    <w:multiLevelType w:val="multilevel"/>
    <w:tmpl w:val="5F689BF8"/>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3136690"/>
    <w:multiLevelType w:val="multilevel"/>
    <w:tmpl w:val="E9366EB0"/>
    <w:lvl w:ilvl="0">
      <w:start w:val="1"/>
      <w:numFmt w:val="decimal"/>
      <w:lvlText w:val="%1."/>
      <w:lvlJc w:val="left"/>
      <w:pPr>
        <w:tabs>
          <w:tab w:val="num" w:pos="0"/>
        </w:tabs>
        <w:ind w:left="92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6"/>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198"/>
    <w:rsid w:val="00040640"/>
    <w:rsid w:val="00645C12"/>
    <w:rsid w:val="006E0198"/>
    <w:rsid w:val="007F6EAE"/>
    <w:rsid w:val="009A5E56"/>
    <w:rsid w:val="00EC2BB4"/>
    <w:rsid w:val="00F51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EDF38"/>
  <w15:docId w15:val="{9B1BC0B8-0264-435E-BA1A-A7A0C57C8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Times New Roman"/>
      <w:sz w:val="22"/>
      <w:szCs w:val="28"/>
      <w:lang w:bidi="bn-IN"/>
    </w:rPr>
  </w:style>
  <w:style w:type="paragraph" w:styleId="Heading1">
    <w:name w:val="heading 1"/>
    <w:next w:val="Normal"/>
    <w:qFormat/>
    <w:pPr>
      <w:keepNext/>
      <w:keepLines/>
      <w:numPr>
        <w:numId w:val="1"/>
      </w:numPr>
      <w:spacing w:before="240" w:after="120" w:line="360" w:lineRule="auto"/>
      <w:outlineLvl w:val="0"/>
    </w:pPr>
    <w:rPr>
      <w:rFonts w:ascii="Times New Roman Bold;Times New" w:eastAsia="Times New Roman Bold;Times New" w:hAnsi="Times New Roman Bold;Times New" w:cs="Times New Roman Bold;Times New"/>
      <w:color w:val="000000"/>
      <w:sz w:val="28"/>
      <w:szCs w:val="20"/>
      <w:lang w:bidi="ar-SA"/>
    </w:rPr>
  </w:style>
  <w:style w:type="paragraph" w:styleId="Heading2">
    <w:name w:val="heading 2"/>
    <w:next w:val="Normal"/>
    <w:qFormat/>
    <w:pPr>
      <w:keepNext/>
      <w:keepLines/>
      <w:numPr>
        <w:ilvl w:val="1"/>
        <w:numId w:val="1"/>
      </w:numPr>
      <w:spacing w:before="40" w:after="120" w:line="360" w:lineRule="auto"/>
      <w:outlineLvl w:val="1"/>
    </w:pPr>
    <w:rPr>
      <w:rFonts w:ascii="Times New Roman Bold;Times New" w:eastAsia="Times New Roman Bold;Times New" w:hAnsi="Times New Roman Bold;Times New" w:cs="Times New Roman Bold;Times New"/>
      <w:color w:val="000000"/>
      <w:lang w:bidi="ar-SA"/>
    </w:rPr>
  </w:style>
  <w:style w:type="paragraph" w:styleId="Heading3">
    <w:name w:val="heading 3"/>
    <w:next w:val="Normal"/>
    <w:qFormat/>
    <w:pPr>
      <w:keepNext/>
      <w:keepLines/>
      <w:numPr>
        <w:ilvl w:val="2"/>
        <w:numId w:val="1"/>
      </w:numPr>
      <w:spacing w:before="40" w:after="120" w:line="360" w:lineRule="auto"/>
      <w:outlineLvl w:val="2"/>
    </w:pPr>
    <w:rPr>
      <w:rFonts w:ascii="Times New Roman" w:eastAsia="Times New Roman" w:hAnsi="Times New Roman" w:cs="Times New Roman"/>
      <w:color w:val="000000"/>
      <w:lang w:bidi="ar-SA"/>
    </w:rPr>
  </w:style>
  <w:style w:type="paragraph" w:styleId="Heading4">
    <w:name w:val="heading 4"/>
    <w:basedOn w:val="Normal"/>
    <w:next w:val="Normal"/>
    <w:qFormat/>
    <w:pPr>
      <w:keepNext/>
      <w:keepLines/>
      <w:numPr>
        <w:ilvl w:val="3"/>
        <w:numId w:val="1"/>
      </w:numPr>
      <w:spacing w:before="200" w:after="0" w:line="360" w:lineRule="auto"/>
      <w:outlineLvl w:val="3"/>
    </w:pPr>
    <w:rPr>
      <w:rFonts w:ascii="Times New Roman" w:eastAsia="Times New Roman" w:hAnsi="Times New Roman"/>
      <w:bCs/>
      <w:i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eastAsia="Calibri" w:cs="Arial"/>
      <w:sz w:val="24"/>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Book Antiqua" w:hAnsi="Book Antiqua" w:cs="Book Antiqua"/>
      <w:sz w:val="24"/>
      <w:szCs w:val="24"/>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position w:val="0"/>
      <w:sz w:val="24"/>
      <w:vertAlign w:val="baseline"/>
      <w:lang w:val="en-US"/>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eastAsia="Calibri" w:cs="Arial"/>
      <w:b/>
      <w:bCs/>
      <w:i w:val="0"/>
      <w:iCs/>
      <w:sz w:val="28"/>
      <w:szCs w:val="28"/>
      <w:lang w:val="en-US"/>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FootnoteTextChar">
    <w:name w:val="Footnote Text Char"/>
    <w:qFormat/>
    <w:rPr>
      <w:rFonts w:ascii="Times New Roman" w:eastAsia="SimSun;宋体" w:hAnsi="Times New Roman" w:cs="Times New Roman"/>
      <w:sz w:val="20"/>
      <w:szCs w:val="20"/>
      <w:lang w:eastAsia="zh-CN" w:bidi="ar-SA"/>
    </w:rPr>
  </w:style>
  <w:style w:type="character" w:customStyle="1" w:styleId="FootnoteCharacters">
    <w:name w:val="Footnote Characters"/>
    <w:qFormat/>
    <w:rPr>
      <w:vertAlign w:val="superscript"/>
    </w:rPr>
  </w:style>
  <w:style w:type="character" w:customStyle="1" w:styleId="BalloonTextChar">
    <w:name w:val="Balloon Text Char"/>
    <w:qFormat/>
    <w:rPr>
      <w:rFonts w:ascii="Tahoma" w:hAnsi="Tahoma" w:cs="Tahoma"/>
      <w:sz w:val="16"/>
      <w:szCs w:val="20"/>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customStyle="1" w:styleId="EndnoteTextChar">
    <w:name w:val="Endnote Text Char"/>
    <w:qFormat/>
    <w:rPr>
      <w:sz w:val="20"/>
      <w:szCs w:val="25"/>
    </w:rPr>
  </w:style>
  <w:style w:type="character" w:customStyle="1" w:styleId="EndnoteCharacters">
    <w:name w:val="Endnote Characters"/>
    <w:qFormat/>
    <w:rPr>
      <w:vertAlign w:val="superscript"/>
    </w:rPr>
  </w:style>
  <w:style w:type="character" w:styleId="Hyperlink">
    <w:name w:val="Hyperlink"/>
    <w:rPr>
      <w:color w:val="0000FF"/>
      <w:u w:val="single"/>
    </w:rPr>
  </w:style>
  <w:style w:type="character" w:customStyle="1" w:styleId="Style1Char">
    <w:name w:val="Style1 Char"/>
    <w:qFormat/>
    <w:rPr>
      <w:rFonts w:ascii="Calibri" w:eastAsia="Calibri" w:hAnsi="Calibri" w:cs="Vrinda;Courier New"/>
      <w:szCs w:val="22"/>
      <w:lang w:bidi="ar-SA"/>
    </w:rPr>
  </w:style>
  <w:style w:type="character" w:customStyle="1" w:styleId="BodyText2Char">
    <w:name w:val="Body Text 2 Char"/>
    <w:qFormat/>
    <w:rPr>
      <w:rFonts w:ascii="Times New Roman" w:eastAsia="Times New Roman" w:hAnsi="Times New Roman" w:cs="Times New Roman"/>
      <w:sz w:val="26"/>
      <w:szCs w:val="20"/>
      <w:lang w:bidi="ar-SA"/>
    </w:rPr>
  </w:style>
  <w:style w:type="character" w:styleId="CommentReference">
    <w:name w:val="annotation reference"/>
    <w:qFormat/>
    <w:rPr>
      <w:sz w:val="16"/>
      <w:szCs w:val="16"/>
    </w:rPr>
  </w:style>
  <w:style w:type="character" w:customStyle="1" w:styleId="CommentTextChar">
    <w:name w:val="Comment Text Char"/>
    <w:qFormat/>
    <w:rPr>
      <w:sz w:val="20"/>
      <w:szCs w:val="25"/>
    </w:rPr>
  </w:style>
  <w:style w:type="character" w:customStyle="1" w:styleId="CommentSubjectChar">
    <w:name w:val="Comment Subject Char"/>
    <w:qFormat/>
    <w:rPr>
      <w:b/>
      <w:bCs/>
      <w:sz w:val="20"/>
      <w:szCs w:val="25"/>
    </w:rPr>
  </w:style>
  <w:style w:type="character" w:customStyle="1" w:styleId="apple-converted-space">
    <w:name w:val="apple-converted-space"/>
    <w:basedOn w:val="DefaultParagraphFont"/>
    <w:qFormat/>
  </w:style>
  <w:style w:type="character" w:customStyle="1" w:styleId="Mention">
    <w:name w:val="Mention"/>
    <w:qFormat/>
    <w:rPr>
      <w:color w:val="2B579A"/>
      <w:shd w:val="clear" w:color="auto" w:fill="E6E6E6"/>
    </w:rPr>
  </w:style>
  <w:style w:type="character" w:customStyle="1" w:styleId="UnresolvedMention">
    <w:name w:val="Unresolved Mention"/>
    <w:qFormat/>
    <w:rPr>
      <w:color w:val="808080"/>
      <w:shd w:val="clear" w:color="auto" w:fill="E6E6E6"/>
    </w:rPr>
  </w:style>
  <w:style w:type="character" w:customStyle="1" w:styleId="Heading1Char">
    <w:name w:val="Heading 1 Char"/>
    <w:qFormat/>
    <w:rPr>
      <w:rFonts w:ascii="Times New Roman Bold;Times New" w:eastAsia="Times New Roman Bold;Times New" w:hAnsi="Times New Roman Bold;Times New" w:cs="Times New Roman Bold;Times New"/>
      <w:color w:val="000000"/>
      <w:sz w:val="28"/>
      <w:lang w:bidi="ar-SA"/>
    </w:rPr>
  </w:style>
  <w:style w:type="character" w:customStyle="1" w:styleId="Heading2Char">
    <w:name w:val="Heading 2 Char"/>
    <w:qFormat/>
    <w:rPr>
      <w:rFonts w:ascii="Times New Roman Bold;Times New" w:eastAsia="Times New Roman Bold;Times New" w:hAnsi="Times New Roman Bold;Times New" w:cs="Times New Roman Bold;Times New"/>
      <w:color w:val="000000"/>
      <w:sz w:val="24"/>
      <w:szCs w:val="24"/>
      <w:lang w:bidi="ar-SA"/>
    </w:rPr>
  </w:style>
  <w:style w:type="character" w:customStyle="1" w:styleId="Heading3Char">
    <w:name w:val="Heading 3 Char"/>
    <w:qFormat/>
    <w:rPr>
      <w:rFonts w:ascii="Times New Roman" w:eastAsia="Times New Roman" w:hAnsi="Times New Roman" w:cs="Times New Roman"/>
      <w:color w:val="000000"/>
      <w:sz w:val="24"/>
      <w:szCs w:val="24"/>
      <w:lang w:bidi="ar-SA"/>
    </w:rPr>
  </w:style>
  <w:style w:type="character" w:customStyle="1" w:styleId="Heading4Char">
    <w:name w:val="Heading 4 Char"/>
    <w:qFormat/>
    <w:rPr>
      <w:rFonts w:ascii="Times New Roman" w:eastAsia="Times New Roman" w:hAnsi="Times New Roman" w:cs="Times New Roman"/>
      <w:bCs/>
      <w:iCs/>
      <w:sz w:val="24"/>
      <w:szCs w:val="24"/>
      <w:lang w:bidi="ar-SA"/>
    </w:rPr>
  </w:style>
  <w:style w:type="character" w:customStyle="1" w:styleId="Linkki">
    <w:name w:val="Linkki"/>
    <w:qFormat/>
    <w:rPr>
      <w:color w:val="0563C1"/>
      <w:u w:val="single" w:color="0563C1"/>
    </w:rPr>
  </w:style>
  <w:style w:type="character" w:customStyle="1" w:styleId="Hyperlink0">
    <w:name w:val="Hyperlink.0"/>
    <w:qFormat/>
    <w:rPr>
      <w:color w:val="0563C1"/>
      <w:sz w:val="22"/>
      <w:szCs w:val="22"/>
      <w:u w:val="single" w:color="0563C1"/>
      <w:lang w:val="en-US"/>
    </w:rPr>
  </w:style>
  <w:style w:type="character" w:customStyle="1" w:styleId="Hyperlink1">
    <w:name w:val="Hyperlink.1"/>
    <w:qFormat/>
    <w:rPr>
      <w:color w:val="0563C1"/>
      <w:sz w:val="22"/>
      <w:szCs w:val="22"/>
      <w:u w:val="single" w:color="0563C1"/>
    </w:rPr>
  </w:style>
  <w:style w:type="character" w:customStyle="1" w:styleId="Hyperlink2">
    <w:name w:val="Hyperlink.2"/>
    <w:qFormat/>
    <w:rPr>
      <w:color w:val="0563C1"/>
      <w:u w:val="single" w:color="0563C1"/>
      <w:lang w:val="en-US"/>
    </w:rPr>
  </w:style>
  <w:style w:type="character" w:customStyle="1" w:styleId="TitleChar">
    <w:name w:val="Title Char"/>
    <w:qFormat/>
    <w:rPr>
      <w:rFonts w:ascii="Cambria" w:eastAsia="Times New Roman" w:hAnsi="Cambria" w:cs="Times New Roman"/>
      <w:color w:val="17365D"/>
      <w:spacing w:val="5"/>
      <w:kern w:val="2"/>
      <w:sz w:val="52"/>
      <w:szCs w:val="52"/>
      <w:lang w:bidi="ar-SA"/>
    </w:rPr>
  </w:style>
  <w:style w:type="character" w:styleId="FollowedHyperlink">
    <w:name w:val="FollowedHyperlink"/>
    <w:rPr>
      <w:color w:val="800080"/>
      <w:u w:val="single"/>
    </w:rPr>
  </w:style>
  <w:style w:type="character" w:customStyle="1" w:styleId="allowtextselection">
    <w:name w:val="allowtextselection"/>
    <w:basedOn w:val="DefaultParagraphFont"/>
    <w:qFormat/>
  </w:style>
  <w:style w:type="character" w:styleId="PlaceholderText">
    <w:name w:val="Placeholder Text"/>
    <w:qFormat/>
    <w:rPr>
      <w:color w:val="808080"/>
    </w:rPr>
  </w:style>
  <w:style w:type="character" w:styleId="Emphasis">
    <w:name w:val="Emphasis"/>
    <w:qFormat/>
    <w:rPr>
      <w:i/>
      <w:iCs/>
    </w:rPr>
  </w:style>
  <w:style w:type="character" w:customStyle="1" w:styleId="hps">
    <w:name w:val="hps"/>
    <w:qFormat/>
  </w:style>
  <w:style w:type="character" w:customStyle="1" w:styleId="IntenseQuoteChar">
    <w:name w:val="Intense Quote Char"/>
    <w:qFormat/>
    <w:rPr>
      <w:i/>
      <w:iCs/>
      <w:color w:val="4472C4"/>
      <w:sz w:val="22"/>
      <w:szCs w:val="28"/>
      <w:lang w:val="en-US" w:bidi="bn-IN"/>
    </w:rPr>
  </w:style>
  <w:style w:type="character" w:customStyle="1" w:styleId="fontstyle01">
    <w:name w:val="fontstyle01"/>
    <w:qFormat/>
    <w:rPr>
      <w:rFonts w:ascii="TimesNewRomanPSMT;Arial Unicode" w:hAnsi="TimesNewRomanPSMT;Arial Unicode" w:cs="TimesNewRomanPSMT;Arial Unicode"/>
      <w:b w:val="0"/>
      <w:bCs w:val="0"/>
      <w:i w:val="0"/>
      <w:iCs w:val="0"/>
      <w:color w:val="000000"/>
      <w:sz w:val="22"/>
      <w:szCs w:val="22"/>
    </w:rPr>
  </w:style>
  <w:style w:type="character" w:customStyle="1" w:styleId="ListParagraphChar">
    <w:name w:val="List Paragraph Char"/>
    <w:qFormat/>
    <w:rPr>
      <w:sz w:val="22"/>
      <w:szCs w:val="28"/>
      <w:lang w:val="en-US" w:bidi="bn-IN"/>
    </w:rPr>
  </w:style>
  <w:style w:type="character" w:customStyle="1" w:styleId="StrongEmphasis">
    <w:name w:val="Strong Emphasis"/>
    <w:qFormat/>
    <w:rPr>
      <w:b/>
      <w:bCs/>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Normal"/>
    <w:next w:val="Normal"/>
    <w:qFormat/>
    <w:pPr>
      <w:pBdr>
        <w:bottom w:val="single" w:sz="8" w:space="4" w:color="4F81BD"/>
      </w:pBdr>
      <w:spacing w:after="300" w:line="240" w:lineRule="auto"/>
      <w:contextualSpacing/>
    </w:pPr>
    <w:rPr>
      <w:rFonts w:ascii="Cambria" w:eastAsia="Times New Roman" w:hAnsi="Cambria" w:cs="Cambria"/>
      <w:color w:val="17365D"/>
      <w:spacing w:val="5"/>
      <w:kern w:val="2"/>
      <w:sz w:val="52"/>
      <w:szCs w:val="52"/>
      <w:lang w:bidi="ar-SA"/>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FootnoteText">
    <w:name w:val="footnote text"/>
    <w:basedOn w:val="Normal"/>
    <w:pPr>
      <w:spacing w:after="0" w:line="240" w:lineRule="auto"/>
    </w:pPr>
    <w:rPr>
      <w:rFonts w:ascii="Times New Roman" w:eastAsia="SimSun;宋体" w:hAnsi="Times New Roman"/>
      <w:sz w:val="20"/>
      <w:szCs w:val="20"/>
      <w:lang w:bidi="ar-SA"/>
    </w:r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Tahoma" w:hAnsi="Tahoma" w:cs="Tahoma"/>
      <w:sz w:val="16"/>
      <w:szCs w:val="20"/>
      <w:lang w:bidi="ar-SA"/>
    </w:rPr>
  </w:style>
  <w:style w:type="paragraph" w:styleId="Bibliography">
    <w:name w:val="Bibliography"/>
    <w:basedOn w:val="Normal"/>
    <w:next w:val="Normal"/>
    <w:qFormat/>
  </w:style>
  <w:style w:type="paragraph" w:styleId="NoSpacing">
    <w:name w:val="No Spacing"/>
    <w:qFormat/>
    <w:pPr>
      <w:jc w:val="both"/>
    </w:pPr>
    <w:rPr>
      <w:rFonts w:ascii="Calibri" w:eastAsia="Calibri" w:hAnsi="Calibri" w:cs="Times New Roman"/>
      <w:sz w:val="22"/>
      <w:szCs w:val="22"/>
      <w:lang w:bidi="ar-SA"/>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EndnoteText">
    <w:name w:val="endnote text"/>
    <w:basedOn w:val="Normal"/>
    <w:pPr>
      <w:spacing w:after="0" w:line="240" w:lineRule="auto"/>
    </w:pPr>
    <w:rPr>
      <w:sz w:val="20"/>
      <w:szCs w:val="25"/>
      <w:lang w:bidi="ar-SA"/>
    </w:rPr>
  </w:style>
  <w:style w:type="paragraph" w:customStyle="1" w:styleId="Default">
    <w:name w:val="Default"/>
    <w:qFormat/>
    <w:pPr>
      <w:autoSpaceDE w:val="0"/>
    </w:pPr>
    <w:rPr>
      <w:rFonts w:ascii="Times New Roman" w:eastAsia="Calibri" w:hAnsi="Times New Roman" w:cs="Times New Roman"/>
      <w:color w:val="000000"/>
      <w:lang w:bidi="bn-IN"/>
    </w:rPr>
  </w:style>
  <w:style w:type="paragraph" w:customStyle="1" w:styleId="Style1">
    <w:name w:val="Style1"/>
    <w:basedOn w:val="NoSpacing"/>
    <w:qFormat/>
    <w:pPr>
      <w:jc w:val="left"/>
    </w:pPr>
    <w:rPr>
      <w:rFonts w:cs="Vrinda;Courier New"/>
      <w:sz w:val="20"/>
    </w:rPr>
  </w:style>
  <w:style w:type="paragraph" w:styleId="BodyText2">
    <w:name w:val="Body Text 2"/>
    <w:basedOn w:val="Normal"/>
    <w:qFormat/>
    <w:pPr>
      <w:spacing w:after="0" w:line="360" w:lineRule="auto"/>
    </w:pPr>
    <w:rPr>
      <w:rFonts w:ascii="Times New Roman" w:eastAsia="Times New Roman" w:hAnsi="Times New Roman"/>
      <w:sz w:val="26"/>
      <w:szCs w:val="20"/>
      <w:lang w:bidi="ar-SA"/>
    </w:rPr>
  </w:style>
  <w:style w:type="paragraph" w:styleId="CommentText">
    <w:name w:val="annotation text"/>
    <w:basedOn w:val="Normal"/>
    <w:qFormat/>
    <w:pPr>
      <w:spacing w:line="240" w:lineRule="auto"/>
    </w:pPr>
    <w:rPr>
      <w:sz w:val="20"/>
      <w:szCs w:val="25"/>
      <w:lang w:bidi="ar-SA"/>
    </w:rPr>
  </w:style>
  <w:style w:type="paragraph" w:styleId="CommentSubject">
    <w:name w:val="annotation subject"/>
    <w:basedOn w:val="CommentText"/>
    <w:next w:val="CommentText"/>
    <w:qFormat/>
    <w:rPr>
      <w:b/>
      <w:bCs/>
    </w:rPr>
  </w:style>
  <w:style w:type="paragraph" w:customStyle="1" w:styleId="Yl-jaalaotsake">
    <w:name w:val="Ylä- ja alaotsake"/>
    <w:qFormat/>
    <w:pPr>
      <w:tabs>
        <w:tab w:val="right" w:pos="9020"/>
      </w:tabs>
    </w:pPr>
    <w:rPr>
      <w:rFonts w:ascii="Helvetica" w:eastAsia="Arial Unicode MS" w:hAnsi="Helvetica" w:cs="Arial Unicode MS"/>
      <w:color w:val="000000"/>
      <w:lang w:val="fi-FI" w:bidi="ar-SA"/>
    </w:rPr>
  </w:style>
  <w:style w:type="paragraph" w:styleId="TOCHeading">
    <w:name w:val="TOC Heading"/>
    <w:next w:val="Normal"/>
    <w:qFormat/>
    <w:pPr>
      <w:keepNext/>
      <w:keepLines/>
      <w:spacing w:before="240" w:after="120" w:line="256" w:lineRule="auto"/>
    </w:pPr>
    <w:rPr>
      <w:rFonts w:ascii="Calibri Light" w:eastAsia="Calibri Light" w:hAnsi="Calibri Light" w:cs="Calibri Light"/>
      <w:color w:val="2E74B5"/>
      <w:sz w:val="32"/>
      <w:szCs w:val="32"/>
      <w:lang w:bidi="ar-SA"/>
    </w:rPr>
  </w:style>
  <w:style w:type="paragraph" w:customStyle="1" w:styleId="TOC11">
    <w:name w:val="TOC 11"/>
    <w:qFormat/>
    <w:pPr>
      <w:tabs>
        <w:tab w:val="right" w:pos="9044"/>
      </w:tabs>
      <w:spacing w:after="100" w:line="360" w:lineRule="auto"/>
    </w:pPr>
    <w:rPr>
      <w:rFonts w:ascii="Times New Roman Bold;Times New" w:eastAsia="Times New Roman Bold;Times New" w:hAnsi="Times New Roman Bold;Times New" w:cs="Times New Roman Bold;Times New"/>
      <w:color w:val="000000"/>
      <w:sz w:val="28"/>
      <w:szCs w:val="28"/>
      <w:lang w:bidi="ar-SA"/>
    </w:rPr>
  </w:style>
  <w:style w:type="paragraph" w:customStyle="1" w:styleId="TOC21">
    <w:name w:val="TOC 21"/>
    <w:qFormat/>
    <w:pPr>
      <w:tabs>
        <w:tab w:val="right" w:pos="9044"/>
      </w:tabs>
      <w:spacing w:after="100" w:line="360" w:lineRule="auto"/>
    </w:pPr>
    <w:rPr>
      <w:rFonts w:ascii="Times New Roman Bold;Times New" w:eastAsia="Times New Roman Bold;Times New" w:hAnsi="Times New Roman Bold;Times New" w:cs="Times New Roman Bold;Times New"/>
      <w:color w:val="000000"/>
      <w:sz w:val="28"/>
      <w:szCs w:val="28"/>
      <w:lang w:val="fi-FI" w:bidi="ar-SA"/>
    </w:rPr>
  </w:style>
  <w:style w:type="paragraph" w:customStyle="1" w:styleId="TOC31">
    <w:name w:val="TOC 31"/>
    <w:qFormat/>
    <w:pPr>
      <w:tabs>
        <w:tab w:val="right" w:pos="9044"/>
      </w:tabs>
      <w:spacing w:after="100" w:line="360" w:lineRule="auto"/>
      <w:ind w:left="480"/>
    </w:pPr>
    <w:rPr>
      <w:rFonts w:ascii="Times New Roman" w:eastAsia="Times New Roman" w:hAnsi="Times New Roman" w:cs="Times New Roman"/>
      <w:color w:val="000000"/>
      <w:lang w:bidi="ar-SA"/>
    </w:rPr>
  </w:style>
  <w:style w:type="paragraph" w:styleId="TOC1">
    <w:name w:val="toc 1"/>
    <w:basedOn w:val="Normal"/>
    <w:next w:val="Normal"/>
    <w:pPr>
      <w:spacing w:before="120" w:after="0" w:line="360" w:lineRule="auto"/>
    </w:pPr>
    <w:rPr>
      <w:rFonts w:eastAsia="Arial Unicode MS" w:cs="Arial Unicode MS"/>
      <w:b/>
      <w:caps/>
      <w:color w:val="000000"/>
      <w:szCs w:val="22"/>
      <w:lang w:bidi="ar-SA"/>
    </w:rPr>
  </w:style>
  <w:style w:type="paragraph" w:styleId="TOC2">
    <w:name w:val="toc 2"/>
    <w:basedOn w:val="Normal"/>
    <w:next w:val="Normal"/>
    <w:pPr>
      <w:spacing w:after="0" w:line="360" w:lineRule="auto"/>
      <w:ind w:left="240"/>
    </w:pPr>
    <w:rPr>
      <w:rFonts w:eastAsia="Arial Unicode MS" w:cs="Arial Unicode MS"/>
      <w:smallCaps/>
      <w:color w:val="000000"/>
      <w:szCs w:val="22"/>
      <w:lang w:eastAsia="en-US" w:bidi="ar-SA"/>
    </w:rPr>
  </w:style>
  <w:style w:type="paragraph" w:styleId="TOC3">
    <w:name w:val="toc 3"/>
    <w:basedOn w:val="Normal"/>
    <w:next w:val="Normal"/>
    <w:pPr>
      <w:spacing w:after="0" w:line="360" w:lineRule="auto"/>
      <w:ind w:left="480"/>
    </w:pPr>
    <w:rPr>
      <w:rFonts w:eastAsia="Arial Unicode MS" w:cs="Arial Unicode MS"/>
      <w:i/>
      <w:color w:val="000000"/>
      <w:szCs w:val="22"/>
      <w:lang w:bidi="ar-SA"/>
    </w:rPr>
  </w:style>
  <w:style w:type="paragraph" w:styleId="TOC4">
    <w:name w:val="toc 4"/>
    <w:basedOn w:val="Normal"/>
    <w:next w:val="Normal"/>
    <w:pPr>
      <w:spacing w:after="0" w:line="360" w:lineRule="auto"/>
      <w:ind w:left="720"/>
    </w:pPr>
    <w:rPr>
      <w:rFonts w:eastAsia="Arial Unicode MS" w:cs="Arial Unicode MS"/>
      <w:color w:val="000000"/>
      <w:sz w:val="18"/>
      <w:szCs w:val="18"/>
      <w:lang w:bidi="ar-SA"/>
    </w:rPr>
  </w:style>
  <w:style w:type="paragraph" w:styleId="TOC5">
    <w:name w:val="toc 5"/>
    <w:basedOn w:val="Normal"/>
    <w:next w:val="Normal"/>
    <w:pPr>
      <w:spacing w:after="0" w:line="360" w:lineRule="auto"/>
      <w:ind w:left="960"/>
    </w:pPr>
    <w:rPr>
      <w:rFonts w:eastAsia="Arial Unicode MS" w:cs="Arial Unicode MS"/>
      <w:color w:val="000000"/>
      <w:sz w:val="18"/>
      <w:szCs w:val="18"/>
      <w:lang w:bidi="ar-SA"/>
    </w:rPr>
  </w:style>
  <w:style w:type="paragraph" w:styleId="TOC6">
    <w:name w:val="toc 6"/>
    <w:basedOn w:val="Normal"/>
    <w:next w:val="Normal"/>
    <w:pPr>
      <w:spacing w:after="0" w:line="360" w:lineRule="auto"/>
      <w:ind w:left="1200"/>
    </w:pPr>
    <w:rPr>
      <w:rFonts w:eastAsia="Arial Unicode MS" w:cs="Arial Unicode MS"/>
      <w:color w:val="000000"/>
      <w:sz w:val="18"/>
      <w:szCs w:val="18"/>
      <w:lang w:bidi="ar-SA"/>
    </w:rPr>
  </w:style>
  <w:style w:type="paragraph" w:styleId="TOC7">
    <w:name w:val="toc 7"/>
    <w:basedOn w:val="Normal"/>
    <w:next w:val="Normal"/>
    <w:pPr>
      <w:spacing w:after="0" w:line="360" w:lineRule="auto"/>
      <w:ind w:left="1440"/>
    </w:pPr>
    <w:rPr>
      <w:rFonts w:eastAsia="Arial Unicode MS" w:cs="Arial Unicode MS"/>
      <w:color w:val="000000"/>
      <w:sz w:val="18"/>
      <w:szCs w:val="18"/>
      <w:lang w:bidi="ar-SA"/>
    </w:rPr>
  </w:style>
  <w:style w:type="paragraph" w:styleId="TOC8">
    <w:name w:val="toc 8"/>
    <w:basedOn w:val="Normal"/>
    <w:next w:val="Normal"/>
    <w:pPr>
      <w:spacing w:after="0" w:line="360" w:lineRule="auto"/>
      <w:ind w:left="1680"/>
    </w:pPr>
    <w:rPr>
      <w:rFonts w:eastAsia="Arial Unicode MS" w:cs="Arial Unicode MS"/>
      <w:color w:val="000000"/>
      <w:sz w:val="18"/>
      <w:szCs w:val="18"/>
      <w:lang w:bidi="ar-SA"/>
    </w:rPr>
  </w:style>
  <w:style w:type="paragraph" w:styleId="TOC9">
    <w:name w:val="toc 9"/>
    <w:basedOn w:val="Normal"/>
    <w:next w:val="Normal"/>
    <w:pPr>
      <w:spacing w:after="0" w:line="360" w:lineRule="auto"/>
      <w:ind w:left="1920"/>
    </w:pPr>
    <w:rPr>
      <w:rFonts w:eastAsia="Arial Unicode MS" w:cs="Arial Unicode MS"/>
      <w:color w:val="000000"/>
      <w:sz w:val="18"/>
      <w:szCs w:val="18"/>
      <w:lang w:bidi="ar-SA"/>
    </w:rPr>
  </w:style>
  <w:style w:type="paragraph" w:customStyle="1" w:styleId="Alaviite">
    <w:name w:val="Alaviite"/>
    <w:qFormat/>
    <w:rPr>
      <w:rFonts w:ascii="Helvetica" w:eastAsia="Helvetica" w:hAnsi="Helvetica" w:cs="Helvetica"/>
      <w:color w:val="000000"/>
      <w:sz w:val="22"/>
      <w:szCs w:val="22"/>
      <w:lang w:val="fi-FI" w:bidi="ar-SA"/>
    </w:rPr>
  </w:style>
  <w:style w:type="paragraph" w:customStyle="1" w:styleId="Tyyli1">
    <w:name w:val="Tyyli1"/>
    <w:basedOn w:val="Heading2"/>
    <w:qFormat/>
    <w:pPr>
      <w:numPr>
        <w:ilvl w:val="0"/>
        <w:numId w:val="0"/>
      </w:numPr>
    </w:pPr>
    <w:rPr>
      <w:b/>
    </w:rPr>
  </w:style>
  <w:style w:type="paragraph" w:customStyle="1" w:styleId="Heading21">
    <w:name w:val="Heading 21"/>
    <w:basedOn w:val="Heading2"/>
    <w:qFormat/>
    <w:pPr>
      <w:numPr>
        <w:ilvl w:val="0"/>
        <w:numId w:val="0"/>
      </w:numPr>
    </w:pPr>
    <w:rPr>
      <w:b/>
    </w:rPr>
  </w:style>
  <w:style w:type="paragraph" w:customStyle="1" w:styleId="LeiptekstiA">
    <w:name w:val="Leipäteksti A"/>
    <w:qFormat/>
    <w:rPr>
      <w:rFonts w:ascii="Times New Roman" w:eastAsia="Arial Unicode MS" w:hAnsi="Times New Roman" w:cs="Arial Unicode MS"/>
      <w:color w:val="000000"/>
      <w:lang w:bidi="ar-SA"/>
    </w:rPr>
  </w:style>
  <w:style w:type="paragraph" w:styleId="Revision">
    <w:name w:val="Revision"/>
    <w:qFormat/>
    <w:rPr>
      <w:rFonts w:ascii="Times New Roman" w:eastAsia="Arial Unicode MS" w:hAnsi="Times New Roman" w:cs="Arial Unicode MS"/>
      <w:color w:val="000000"/>
      <w:lang w:bidi="ar-SA"/>
    </w:rPr>
  </w:style>
  <w:style w:type="paragraph" w:styleId="IntenseQuote">
    <w:name w:val="Intense Quote"/>
    <w:basedOn w:val="Normal"/>
    <w:next w:val="Normal"/>
    <w:qFormat/>
    <w:pPr>
      <w:pBdr>
        <w:top w:val="single" w:sz="4" w:space="10" w:color="4472C4"/>
        <w:bottom w:val="single" w:sz="4" w:space="10" w:color="4472C4"/>
      </w:pBdr>
      <w:spacing w:before="360" w:after="360"/>
      <w:ind w:left="864" w:right="864"/>
      <w:jc w:val="center"/>
    </w:pPr>
    <w:rPr>
      <w:i/>
      <w:iCs/>
      <w:color w:val="4472C4"/>
    </w:rPr>
  </w:style>
  <w:style w:type="paragraph" w:styleId="NormalWeb">
    <w:name w:val="Normal (Web)"/>
    <w:basedOn w:val="Normal"/>
    <w:qFormat/>
    <w:pPr>
      <w:spacing w:before="280" w:after="280" w:line="240" w:lineRule="auto"/>
    </w:pPr>
    <w:rPr>
      <w:rFonts w:ascii="Times New Roman" w:eastAsia="Times New Roman" w:hAnsi="Times New Roman"/>
      <w:sz w:val="24"/>
      <w:szCs w:val="24"/>
      <w:lang w:val="en-ID" w:bidi="ar-SA"/>
    </w:rPr>
  </w:style>
  <w:style w:type="paragraph" w:customStyle="1" w:styleId="Author">
    <w:name w:val="Author"/>
    <w:basedOn w:val="Normal"/>
    <w:next w:val="Normal"/>
    <w:qFormat/>
    <w:pPr>
      <w:spacing w:before="120" w:after="120"/>
      <w:jc w:val="both"/>
    </w:pPr>
    <w:rPr>
      <w:rFonts w:ascii="Times New Roman" w:hAnsi="Times New Roman"/>
      <w:i/>
      <w:sz w:val="24"/>
      <w:szCs w:val="24"/>
      <w:lang w:bidi="ar-SA"/>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taufiqzulfikars@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ence_wantu@gmail.co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susanbau136@gmail.com" TargetMode="External"/><Relationship Id="rId4" Type="http://schemas.openxmlformats.org/officeDocument/2006/relationships/webSettings" Target="webSettings.xml"/><Relationship Id="rId9" Type="http://schemas.openxmlformats.org/officeDocument/2006/relationships/hyperlink" Target="https://ejurnal.ung.ac.id/index.php/eslaw/inde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4524</Words>
  <Characters>25793</Characters>
  <Application>Microsoft Office Word</Application>
  <DocSecurity>0</DocSecurity>
  <Lines>214</Lines>
  <Paragraphs>60</Paragraphs>
  <ScaleCrop>false</ScaleCrop>
  <Company/>
  <LinksUpToDate>false</LinksUpToDate>
  <CharactersWithSpaces>30257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Notebook</cp:lastModifiedBy>
  <cp:revision>5</cp:revision>
  <cp:lastPrinted>2022-08-25T08:04:00Z</cp:lastPrinted>
  <dcterms:created xsi:type="dcterms:W3CDTF">2022-08-25T06:34:00Z</dcterms:created>
  <dcterms:modified xsi:type="dcterms:W3CDTF">2022-08-25T08:04:00Z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2022-08-23T12:12:00Z</dcterms:created>
  <dc:creator>Asus</dc:creator>
  <dc:description/>
  <cp:keywords> </cp:keywords>
  <dc:language>en-US</dc:language>
  <cp:lastModifiedBy>User</cp:lastModifiedBy>
  <cp:lastPrinted>2021-04-16T04:24:00Z</cp:lastPrinted>
  <dcterms:modified xsi:type="dcterms:W3CDTF">2022-08-23T22:40:00Z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