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D59" w:rsidRDefault="0055609E">
      <w:r>
        <w:rPr>
          <w:noProof/>
          <w:lang w:eastAsia="en-US" w:bidi="ar-SA"/>
        </w:rPr>
        <w:drawing>
          <wp:anchor distT="0" distB="0" distL="114935" distR="114935" simplePos="0" relativeHeight="2" behindDoc="1" locked="0" layoutInCell="0" allowOverlap="1" wp14:anchorId="7D3C3738" wp14:editId="0A1F6ADD">
            <wp:simplePos x="0" y="0"/>
            <wp:positionH relativeFrom="column">
              <wp:posOffset>-21590</wp:posOffset>
            </wp:positionH>
            <wp:positionV relativeFrom="paragraph">
              <wp:posOffset>-13970</wp:posOffset>
            </wp:positionV>
            <wp:extent cx="5443855" cy="635000"/>
            <wp:effectExtent l="0" t="0" r="444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srcRect l="-7" t="-57" r="-7" b="-57"/>
                    <a:stretch>
                      <a:fillRect/>
                    </a:stretch>
                  </pic:blipFill>
                  <pic:spPr bwMode="auto">
                    <a:xfrm>
                      <a:off x="0" y="0"/>
                      <a:ext cx="5443855" cy="635000"/>
                    </a:xfrm>
                    <a:prstGeom prst="rect">
                      <a:avLst/>
                    </a:prstGeom>
                  </pic:spPr>
                </pic:pic>
              </a:graphicData>
            </a:graphic>
          </wp:anchor>
        </w:drawing>
      </w:r>
    </w:p>
    <w:p w:rsidR="00D10D59" w:rsidRDefault="00D10D59">
      <w:pPr>
        <w:spacing w:after="0" w:line="240" w:lineRule="auto"/>
        <w:rPr>
          <w:rFonts w:ascii="Book Antiqua" w:hAnsi="Book Antiqua" w:cs="Book Antiqua"/>
          <w:sz w:val="24"/>
          <w:szCs w:val="24"/>
          <w:lang w:val="id-ID" w:eastAsia="en-US"/>
        </w:rPr>
      </w:pPr>
    </w:p>
    <w:p w:rsidR="00D10D59" w:rsidRDefault="00D10D59">
      <w:pPr>
        <w:spacing w:after="0" w:line="240" w:lineRule="auto"/>
        <w:rPr>
          <w:rFonts w:ascii="Book Antiqua" w:hAnsi="Book Antiqua" w:cs="Book Antiqua"/>
          <w:sz w:val="24"/>
          <w:szCs w:val="24"/>
          <w:lang w:val="id-ID" w:eastAsia="en-US"/>
        </w:rPr>
      </w:pPr>
      <w:bookmarkStart w:id="0" w:name="_GoBack"/>
      <w:bookmarkEnd w:id="0"/>
    </w:p>
    <w:p w:rsidR="00D10D59" w:rsidRDefault="005F61D9">
      <w:pPr>
        <w:spacing w:after="0" w:line="240" w:lineRule="auto"/>
      </w:pPr>
      <w:r>
        <w:rPr>
          <w:rFonts w:ascii="Book Antiqua" w:hAnsi="Book Antiqua" w:cs="Book Antiqua"/>
          <w:sz w:val="20"/>
          <w:szCs w:val="20"/>
          <w:lang w:val="id-ID" w:eastAsia="en-US"/>
        </w:rPr>
        <w:t>Volume 1 Number 1, February-May 2019: Pp. 1-5</w:t>
      </w:r>
    </w:p>
    <w:p w:rsidR="00D10D59" w:rsidRDefault="005F61D9">
      <w:pPr>
        <w:spacing w:after="0" w:line="240" w:lineRule="auto"/>
        <w:rPr>
          <w:rFonts w:ascii="Book Antiqua" w:hAnsi="Book Antiqua" w:cs="Book Antiqua"/>
          <w:sz w:val="20"/>
          <w:szCs w:val="20"/>
          <w:lang w:val="id-ID" w:eastAsia="en-US" w:bidi="ar-SA"/>
        </w:rPr>
      </w:pPr>
      <w:r>
        <w:rPr>
          <w:noProof/>
          <w:lang w:eastAsia="en-US" w:bidi="ar-SA"/>
        </w:rPr>
        <w:drawing>
          <wp:anchor distT="0" distB="0" distL="114935" distR="114935" simplePos="0" relativeHeight="3" behindDoc="1" locked="0" layoutInCell="0" allowOverlap="1">
            <wp:simplePos x="0" y="0"/>
            <wp:positionH relativeFrom="column">
              <wp:posOffset>4253865</wp:posOffset>
            </wp:positionH>
            <wp:positionV relativeFrom="paragraph">
              <wp:posOffset>14605</wp:posOffset>
            </wp:positionV>
            <wp:extent cx="1168400" cy="47244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pic:cNvPicPr>
                      <a:picLocks noChangeAspect="1" noChangeArrowheads="1"/>
                    </pic:cNvPicPr>
                  </pic:nvPicPr>
                  <pic:blipFill>
                    <a:blip r:embed="rId8"/>
                    <a:srcRect l="-28" t="-77" r="-28" b="-77"/>
                    <a:stretch>
                      <a:fillRect/>
                    </a:stretch>
                  </pic:blipFill>
                  <pic:spPr bwMode="auto">
                    <a:xfrm>
                      <a:off x="0" y="0"/>
                      <a:ext cx="1168400" cy="472440"/>
                    </a:xfrm>
                    <a:prstGeom prst="rect">
                      <a:avLst/>
                    </a:prstGeom>
                  </pic:spPr>
                </pic:pic>
              </a:graphicData>
            </a:graphic>
          </wp:anchor>
        </w:drawing>
      </w:r>
      <w:r>
        <w:rPr>
          <w:rFonts w:ascii="Book Antiqua" w:hAnsi="Book Antiqua" w:cs="Book Antiqua"/>
          <w:sz w:val="20"/>
          <w:szCs w:val="20"/>
          <w:lang w:val="id-ID" w:eastAsia="en-US" w:bidi="ar-SA"/>
        </w:rPr>
        <w:t>Faculty of Law, State University of Gorontalo, City of Gorontalo, Indonesia</w:t>
      </w:r>
    </w:p>
    <w:p w:rsidR="00D10D59" w:rsidRDefault="005F61D9">
      <w:pPr>
        <w:spacing w:after="0" w:line="240" w:lineRule="auto"/>
        <w:rPr>
          <w:rFonts w:ascii="Book Antiqua" w:hAnsi="Book Antiqua" w:cs="Book Antiqua"/>
          <w:iCs/>
          <w:sz w:val="20"/>
          <w:szCs w:val="20"/>
          <w:lang w:val="id-ID" w:eastAsia="en-US" w:bidi="ar-SA"/>
        </w:rPr>
      </w:pPr>
      <w:r>
        <w:rPr>
          <w:rFonts w:ascii="Book Antiqua" w:eastAsia="Times New Roman" w:hAnsi="Book Antiqua" w:cs="Book Antiqua"/>
          <w:iCs/>
          <w:sz w:val="20"/>
          <w:szCs w:val="20"/>
          <w:lang w:val="id-ID" w:eastAsia="en-US"/>
        </w:rPr>
        <w:t>DOI:-</w:t>
      </w:r>
    </w:p>
    <w:p w:rsidR="00D10D59" w:rsidRDefault="005F61D9">
      <w:pPr>
        <w:pBdr>
          <w:bottom w:val="thickThinMediumGap" w:sz="18" w:space="1" w:color="000000"/>
        </w:pBdr>
        <w:spacing w:after="0" w:line="240" w:lineRule="auto"/>
        <w:rPr>
          <w:rFonts w:ascii="Book Antiqua" w:hAnsi="Book Antiqua" w:cs="Book Antiqua"/>
          <w:sz w:val="20"/>
          <w:szCs w:val="20"/>
          <w:lang w:val="id-ID" w:eastAsia="en-US" w:bidi="ar-SA"/>
        </w:rPr>
      </w:pPr>
      <w:hyperlink r:id="rId9">
        <w:r>
          <w:rPr>
            <w:rStyle w:val="Hyperlink"/>
            <w:rFonts w:ascii="Book Antiqua" w:hAnsi="Book Antiqua" w:cs="Book Antiqua"/>
            <w:color w:val="000000"/>
            <w:sz w:val="20"/>
            <w:szCs w:val="20"/>
            <w:lang w:val="id-ID" w:eastAsia="en-US" w:bidi="ar-SA"/>
          </w:rPr>
          <w:t>https://ejurnal.ung.ac.id/index.php/eslaw/index</w:t>
        </w:r>
      </w:hyperlink>
      <w:r>
        <w:rPr>
          <w:rFonts w:ascii="Book Antiqua" w:hAnsi="Book Antiqua" w:cs="Book Antiqua"/>
          <w:sz w:val="20"/>
          <w:szCs w:val="20"/>
          <w:lang w:val="id-ID" w:eastAsia="en-US" w:bidi="ar-SA"/>
        </w:rPr>
        <w:t xml:space="preserve"> </w:t>
      </w:r>
    </w:p>
    <w:p w:rsidR="00D10D59" w:rsidRDefault="00D10D59">
      <w:pPr>
        <w:pBdr>
          <w:bottom w:val="thickThinMediumGap" w:sz="18" w:space="1" w:color="000000"/>
        </w:pBdr>
        <w:spacing w:after="0" w:line="240" w:lineRule="auto"/>
        <w:rPr>
          <w:rStyle w:val="Heading1Char"/>
          <w:rFonts w:ascii="Book Antiqua" w:eastAsia="Calibri" w:hAnsi="Book Antiqua" w:cs="Times New Roman"/>
          <w:sz w:val="24"/>
          <w:szCs w:val="24"/>
          <w:lang w:val="id-ID" w:eastAsia="en-US"/>
        </w:rPr>
      </w:pPr>
    </w:p>
    <w:p w:rsidR="00D10D59" w:rsidRDefault="00D10D59">
      <w:pPr>
        <w:pStyle w:val="Heading3"/>
        <w:spacing w:before="0" w:after="0" w:line="240" w:lineRule="auto"/>
        <w:jc w:val="center"/>
        <w:rPr>
          <w:rStyle w:val="Heading1Char"/>
          <w:rFonts w:ascii="Book Antiqua" w:hAnsi="Book Antiqua" w:cs="Calibri Light"/>
          <w:b/>
          <w:sz w:val="24"/>
          <w:lang w:val="id-ID" w:eastAsia="en-US"/>
        </w:rPr>
      </w:pPr>
    </w:p>
    <w:p w:rsidR="00D10D59" w:rsidRDefault="005F61D9">
      <w:pPr>
        <w:pStyle w:val="Heading3"/>
        <w:spacing w:before="0" w:after="0" w:line="240" w:lineRule="auto"/>
        <w:jc w:val="center"/>
        <w:rPr>
          <w:rStyle w:val="Heading1Char"/>
          <w:rFonts w:ascii="Book Antiqua" w:hAnsi="Book Antiqua" w:cs="Calibri Light"/>
          <w:b/>
          <w:bCs/>
          <w:sz w:val="36"/>
          <w:szCs w:val="36"/>
          <w:lang w:eastAsia="en-US"/>
        </w:rPr>
      </w:pPr>
      <w:r>
        <w:rPr>
          <w:rFonts w:ascii="Book Antiqua" w:hAnsi="Book Antiqua" w:cs="Book Antiqua"/>
          <w:b/>
          <w:bCs/>
          <w:sz w:val="36"/>
          <w:szCs w:val="36"/>
        </w:rPr>
        <w:t xml:space="preserve">Legal </w:t>
      </w:r>
      <w:r>
        <w:rPr>
          <w:rFonts w:ascii="Book Antiqua" w:hAnsi="Book Antiqua" w:cs="Book Antiqua"/>
          <w:b/>
          <w:bCs/>
          <w:sz w:val="36"/>
          <w:szCs w:val="36"/>
        </w:rPr>
        <w:t>Protection for Children as Victims of the Crime of Sexual Intercourse</w:t>
      </w:r>
    </w:p>
    <w:p w:rsidR="00D10D59" w:rsidRDefault="00D10D59">
      <w:pPr>
        <w:pStyle w:val="Heading3"/>
        <w:spacing w:before="0" w:after="0" w:line="240" w:lineRule="auto"/>
        <w:jc w:val="center"/>
        <w:rPr>
          <w:rStyle w:val="Heading1Char"/>
          <w:rFonts w:ascii="Book Antiqua" w:hAnsi="Book Antiqua" w:cs="Calibri Light"/>
          <w:b/>
          <w:bCs/>
          <w:sz w:val="24"/>
          <w:szCs w:val="36"/>
          <w:lang w:val="id-ID" w:eastAsia="en-US"/>
        </w:rPr>
      </w:pPr>
    </w:p>
    <w:p w:rsidR="00D10D59" w:rsidRDefault="005F61D9">
      <w:pPr>
        <w:pStyle w:val="Author"/>
        <w:spacing w:before="0" w:after="0" w:line="240" w:lineRule="auto"/>
        <w:jc w:val="center"/>
        <w:rPr>
          <w:rFonts w:ascii="Book Antiqua" w:hAnsi="Book Antiqua" w:cs="Book Antiqua"/>
          <w:b/>
          <w:lang w:val="id-ID" w:eastAsia="en-US"/>
        </w:rPr>
      </w:pPr>
      <w:r>
        <w:rPr>
          <w:rFonts w:ascii="Book Antiqua" w:hAnsi="Book Antiqua" w:cs="Book Antiqua"/>
          <w:b/>
          <w:lang w:eastAsia="en-US"/>
        </w:rPr>
        <w:t>Firdawati Greetings 1,</w:t>
      </w:r>
      <w:r>
        <w:rPr>
          <w:rFonts w:ascii="Book Antiqua" w:eastAsia="Times New Roman Bold;Times New" w:hAnsi="Book Antiqua" w:cs="Book Antiqua"/>
          <w:b/>
          <w:lang w:val="id-ID" w:eastAsia="en-US"/>
        </w:rPr>
        <w:t>Lisnawati W. Badu2,</w:t>
      </w:r>
      <w:r>
        <w:rPr>
          <w:rFonts w:ascii="Book Antiqua" w:hAnsi="Book Antiqua" w:cs="Book Antiqua"/>
          <w:b/>
          <w:lang w:val="id-ID" w:eastAsia="en-US"/>
        </w:rPr>
        <w:t>Jufryanto Puluhulawa3</w:t>
      </w:r>
    </w:p>
    <w:p w:rsidR="00D10D59" w:rsidRDefault="005F61D9">
      <w:pPr>
        <w:spacing w:after="0" w:line="240" w:lineRule="auto"/>
        <w:jc w:val="center"/>
        <w:rPr>
          <w:rStyle w:val="Hyperlink"/>
          <w:rFonts w:ascii="Book Antiqua" w:eastAsia="Times New Roman Bold;Times New" w:hAnsi="Book Antiqua" w:cs="Calibri Light"/>
          <w:i/>
          <w:iCs/>
          <w:color w:val="000000"/>
          <w:sz w:val="16"/>
          <w:szCs w:val="16"/>
          <w:u w:val="none"/>
          <w:lang w:val="id-ID" w:eastAsia="en-US"/>
        </w:rPr>
      </w:pPr>
      <w:r>
        <w:rPr>
          <w:rStyle w:val="Hyperlink"/>
          <w:rFonts w:ascii="Book Antiqua" w:eastAsia="Times New Roman Bold;Times New" w:hAnsi="Book Antiqua" w:cs="Calibri Light"/>
          <w:i/>
          <w:iCs/>
          <w:color w:val="000000"/>
          <w:sz w:val="16"/>
          <w:szCs w:val="16"/>
          <w:u w:val="none"/>
          <w:vertAlign w:val="superscript"/>
          <w:lang w:val="id-ID" w:eastAsia="en-US"/>
        </w:rPr>
        <w:t>1</w:t>
      </w:r>
      <w:r>
        <w:rPr>
          <w:rStyle w:val="Hyperlink"/>
          <w:rFonts w:ascii="Book Antiqua" w:eastAsia="Times New Roman Bold;Times New" w:hAnsi="Book Antiqua" w:cs="Calibri Light"/>
          <w:i/>
          <w:iCs/>
          <w:color w:val="000000"/>
          <w:sz w:val="16"/>
          <w:szCs w:val="16"/>
          <w:u w:val="none"/>
          <w:lang w:val="id-ID" w:eastAsia="en-US"/>
        </w:rPr>
        <w:t>Faculty of Law, State University of Gorontalo, Indonesia. E-mail:</w:t>
      </w:r>
      <w:hyperlink r:id="rId10">
        <w:r>
          <w:rPr>
            <w:rStyle w:val="Hyperlink"/>
            <w:rFonts w:ascii="Book Antiqua" w:hAnsi="Book Antiqua" w:cs="Book Antiqua"/>
            <w:i/>
            <w:sz w:val="16"/>
            <w:szCs w:val="16"/>
            <w:lang w:val="id-ID" w:eastAsia="en-US"/>
          </w:rPr>
          <w:t>firdawatisalam7@gmail.com</w:t>
        </w:r>
      </w:hyperlink>
      <w:r>
        <w:rPr>
          <w:rFonts w:ascii="Book Antiqua" w:hAnsi="Book Antiqua" w:cs="Book Antiqua"/>
          <w:i/>
          <w:sz w:val="16"/>
          <w:szCs w:val="16"/>
          <w:lang w:val="id-ID" w:eastAsia="en-US"/>
        </w:rPr>
        <w:t xml:space="preserve"> </w:t>
      </w:r>
    </w:p>
    <w:p w:rsidR="00D10D59" w:rsidRDefault="005F61D9">
      <w:pPr>
        <w:spacing w:after="0" w:line="240" w:lineRule="auto"/>
        <w:jc w:val="center"/>
        <w:rPr>
          <w:rStyle w:val="Hyperlink"/>
          <w:rFonts w:ascii="Book Antiqua" w:eastAsia="Times New Roman Bold;Times New" w:hAnsi="Book Antiqua" w:cs="Calibri Light"/>
          <w:i/>
          <w:iCs/>
          <w:color w:val="000000"/>
          <w:sz w:val="16"/>
          <w:szCs w:val="16"/>
          <w:u w:val="none"/>
          <w:lang w:val="id-ID" w:eastAsia="en-US"/>
        </w:rPr>
      </w:pPr>
      <w:r>
        <w:rPr>
          <w:rStyle w:val="Hyperlink"/>
          <w:rFonts w:ascii="Book Antiqua" w:eastAsia="Times New Roman Bold;Times New" w:hAnsi="Book Antiqua" w:cs="Calibri Light"/>
          <w:i/>
          <w:iCs/>
          <w:color w:val="000000"/>
          <w:sz w:val="16"/>
          <w:szCs w:val="16"/>
          <w:u w:val="none"/>
          <w:vertAlign w:val="superscript"/>
          <w:lang w:val="id-ID" w:eastAsia="en-US"/>
        </w:rPr>
        <w:t>2</w:t>
      </w:r>
      <w:r>
        <w:rPr>
          <w:rStyle w:val="Hyperlink"/>
          <w:rFonts w:ascii="Book Antiqua" w:eastAsia="Times New Roman Bold;Times New" w:hAnsi="Book Antiqua" w:cs="Calibri Light"/>
          <w:i/>
          <w:iCs/>
          <w:color w:val="000000"/>
          <w:sz w:val="16"/>
          <w:szCs w:val="16"/>
          <w:u w:val="none"/>
          <w:lang w:val="id-ID" w:eastAsia="en-US"/>
        </w:rPr>
        <w:t>Faculty of Law, State University of Gorontalo, Indonesia. E-mail:</w:t>
      </w:r>
      <w:hyperlink r:id="rId11">
        <w:r>
          <w:rPr>
            <w:rStyle w:val="Hyperlink"/>
            <w:rFonts w:ascii="Book Antiqua" w:hAnsi="Book Antiqua" w:cs="Book Antiqua"/>
            <w:i/>
            <w:sz w:val="16"/>
            <w:szCs w:val="16"/>
            <w:lang w:val="id-ID" w:eastAsia="en-US"/>
          </w:rPr>
          <w:t>lisnawatybadu0@gmail.com</w:t>
        </w:r>
      </w:hyperlink>
      <w:r>
        <w:rPr>
          <w:rFonts w:ascii="Book Antiqua" w:hAnsi="Book Antiqua" w:cs="Book Antiqua"/>
          <w:i/>
          <w:sz w:val="16"/>
          <w:szCs w:val="16"/>
          <w:lang w:val="id-ID" w:eastAsia="en-US"/>
        </w:rPr>
        <w:t xml:space="preserve"> </w:t>
      </w:r>
    </w:p>
    <w:p w:rsidR="00D10D59" w:rsidRDefault="005F61D9">
      <w:pPr>
        <w:pBdr>
          <w:bottom w:val="thickThinMediumGap" w:sz="18" w:space="1" w:color="000000"/>
        </w:pBdr>
        <w:spacing w:after="0" w:line="240" w:lineRule="auto"/>
        <w:jc w:val="center"/>
        <w:rPr>
          <w:rFonts w:ascii="Book Antiqua" w:eastAsia="Times New Roman Bold;Times New" w:hAnsi="Book Antiqua" w:cs="Calibri Light"/>
          <w:i/>
          <w:iCs/>
          <w:sz w:val="16"/>
          <w:szCs w:val="16"/>
          <w:lang w:val="id-ID" w:eastAsia="en-US"/>
        </w:rPr>
      </w:pPr>
      <w:r>
        <w:rPr>
          <w:rStyle w:val="Hyperlink"/>
          <w:rFonts w:ascii="Book Antiqua" w:eastAsia="Times New Roman Bold;Times New" w:hAnsi="Book Antiqua" w:cs="Calibri Light"/>
          <w:i/>
          <w:iCs/>
          <w:color w:val="000000"/>
          <w:sz w:val="16"/>
          <w:szCs w:val="16"/>
          <w:u w:val="none"/>
          <w:vertAlign w:val="superscript"/>
          <w:lang w:val="id-ID" w:eastAsia="en-US"/>
        </w:rPr>
        <w:t>3</w:t>
      </w:r>
      <w:r>
        <w:rPr>
          <w:rStyle w:val="Hyperlink"/>
          <w:rFonts w:ascii="Book Antiqua" w:eastAsia="Times New Roman Bold;Times New" w:hAnsi="Book Antiqua" w:cs="Calibri Light"/>
          <w:i/>
          <w:iCs/>
          <w:color w:val="000000"/>
          <w:sz w:val="16"/>
          <w:szCs w:val="16"/>
          <w:u w:val="none"/>
          <w:lang w:val="id-ID" w:eastAsia="en-US"/>
        </w:rPr>
        <w:t>Faculty of Law, State University of Gorontalo, Indonesia. E-mail:</w:t>
      </w:r>
      <w:hyperlink r:id="rId12">
        <w:r>
          <w:rPr>
            <w:rStyle w:val="Hyperlink"/>
            <w:rFonts w:ascii="Book Antiqua" w:hAnsi="Book Antiqua" w:cs="Book Antiqua"/>
            <w:i/>
            <w:sz w:val="16"/>
            <w:szCs w:val="16"/>
            <w:lang w:val="id-ID" w:eastAsia="en-US"/>
          </w:rPr>
          <w:t>Jufryantopuluhulawa@ung.ac.id</w:t>
        </w:r>
      </w:hyperlink>
      <w:r>
        <w:rPr>
          <w:rStyle w:val="fontstyle01"/>
          <w:rFonts w:ascii="Book Antiqua" w:hAnsi="Book Antiqua" w:cs="Book Antiqua"/>
          <w:i/>
          <w:sz w:val="16"/>
          <w:szCs w:val="16"/>
          <w:lang w:val="id-ID" w:eastAsia="en-US"/>
        </w:rPr>
        <w:t xml:space="preserve"> </w:t>
      </w:r>
    </w:p>
    <w:p w:rsidR="00D10D59" w:rsidRDefault="00D10D59">
      <w:pPr>
        <w:spacing w:after="0" w:line="240" w:lineRule="auto"/>
        <w:jc w:val="center"/>
        <w:rPr>
          <w:rStyle w:val="Hyperlink"/>
          <w:rFonts w:ascii="Book Antiqua" w:eastAsia="Times New Roman Bold;Times New" w:hAnsi="Book Antiqua" w:cs="Calibri Light"/>
          <w:i/>
          <w:iCs/>
          <w:color w:val="000000"/>
          <w:sz w:val="16"/>
          <w:szCs w:val="16"/>
          <w:u w:val="none"/>
          <w:lang w:val="id-ID" w:eastAsia="en-US"/>
        </w:rPr>
      </w:pPr>
    </w:p>
    <w:p w:rsidR="00D10D59" w:rsidRDefault="005F61D9">
      <w:pPr>
        <w:spacing w:after="0" w:line="240" w:lineRule="auto"/>
        <w:jc w:val="both"/>
        <w:rPr>
          <w:rFonts w:ascii="Times New Roman" w:hAnsi="Times New Roman"/>
          <w:sz w:val="24"/>
          <w:szCs w:val="24"/>
          <w:lang w:val="id-ID"/>
        </w:rPr>
      </w:pPr>
      <w:r>
        <w:rPr>
          <w:rFonts w:ascii="Times New Roman" w:hAnsi="Times New Roman"/>
          <w:b/>
          <w:sz w:val="24"/>
          <w:szCs w:val="24"/>
          <w:lang w:val="id-ID" w:eastAsia="en-US"/>
        </w:rPr>
        <w:t>Abstract:</w:t>
      </w:r>
      <w:r>
        <w:rPr>
          <w:rFonts w:ascii="Times New Roman" w:eastAsia="Times New Roman" w:hAnsi="Times New Roman"/>
          <w:color w:val="000000"/>
          <w:sz w:val="24"/>
          <w:szCs w:val="24"/>
          <w:lang w:val="id-ID" w:eastAsia="en-US"/>
        </w:rPr>
        <w:t>This study aims to determine</w:t>
      </w:r>
      <w:r>
        <w:rPr>
          <w:rFonts w:ascii="Times New Roman" w:hAnsi="Times New Roman"/>
          <w:sz w:val="24"/>
          <w:szCs w:val="24"/>
        </w:rPr>
        <w:t>legal protection for children as victims of the crime of sexual intercourse.</w:t>
      </w:r>
      <w:r>
        <w:rPr>
          <w:rFonts w:ascii="Times New Roman" w:eastAsia="Times New Roman" w:hAnsi="Times New Roman"/>
          <w:color w:val="000000"/>
          <w:sz w:val="24"/>
          <w:szCs w:val="24"/>
          <w:lang w:val="id-ID" w:eastAsia="en-US"/>
        </w:rPr>
        <w:t>The method used in this research is empirical research methodology. This study uses a qualitative approach and sampling using purposive sampling and using descriptive qualitative analysis techniques. The results of this study indicate that</w:t>
      </w:r>
      <w:r>
        <w:rPr>
          <w:rFonts w:ascii="Times New Roman" w:hAnsi="Times New Roman"/>
          <w:sz w:val="24"/>
          <w:szCs w:val="24"/>
          <w:lang w:val="id-ID"/>
        </w:rPr>
        <w:t xml:space="preserve">Legal protection </w:t>
      </w:r>
      <w:r>
        <w:rPr>
          <w:rFonts w:ascii="Times New Roman" w:hAnsi="Times New Roman"/>
          <w:sz w:val="24"/>
          <w:szCs w:val="24"/>
          <w:lang w:val="id-ID"/>
        </w:rPr>
        <w:t>for child victims of the crime of sexual intercourse is given with the aim of protecting victims, especially victims of sexual intercourse in order to get their rights as victims by way of children getting health services as an effort to restore the condit</w:t>
      </w:r>
      <w:r>
        <w:rPr>
          <w:rFonts w:ascii="Times New Roman" w:hAnsi="Times New Roman"/>
          <w:sz w:val="24"/>
          <w:szCs w:val="24"/>
          <w:lang w:val="id-ID"/>
        </w:rPr>
        <w:t>ion of children as victims of sexual intercourse, children also get legal protection in terms of legal aid, rehabilitation, and prevention. The need for a fair criminal law settlement for victims of sexual intercourse, which adds or considers the rights of</w:t>
      </w:r>
      <w:r>
        <w:rPr>
          <w:rFonts w:ascii="Times New Roman" w:hAnsi="Times New Roman"/>
          <w:sz w:val="24"/>
          <w:szCs w:val="24"/>
          <w:lang w:val="id-ID"/>
        </w:rPr>
        <w:t xml:space="preserve"> victims of sexual intercourse and parents should participate in efforts to provide protection for children by fulfilling children's rights, protecting the best interests of children, and increasing supervision over children. environment and children's pla</w:t>
      </w:r>
      <w:r>
        <w:rPr>
          <w:rFonts w:ascii="Times New Roman" w:hAnsi="Times New Roman"/>
          <w:sz w:val="24"/>
          <w:szCs w:val="24"/>
          <w:lang w:val="id-ID"/>
        </w:rPr>
        <w:t>y area.</w:t>
      </w:r>
    </w:p>
    <w:p w:rsidR="00D10D59" w:rsidRDefault="005F61D9">
      <w:pPr>
        <w:spacing w:after="0" w:line="240" w:lineRule="auto"/>
        <w:jc w:val="both"/>
        <w:rPr>
          <w:rStyle w:val="Hyperlink"/>
          <w:rFonts w:ascii="Times New Roman" w:hAnsi="Times New Roman"/>
          <w:color w:val="000000"/>
          <w:sz w:val="24"/>
          <w:szCs w:val="24"/>
          <w:u w:val="none"/>
          <w:lang w:val="id-ID" w:eastAsia="en-US"/>
        </w:rPr>
      </w:pPr>
      <w:r>
        <w:rPr>
          <w:rFonts w:ascii="Times New Roman" w:eastAsia="Times New Roman" w:hAnsi="Times New Roman"/>
          <w:b/>
          <w:sz w:val="24"/>
          <w:szCs w:val="24"/>
          <w:lang w:val="id-ID" w:eastAsia="en-US"/>
        </w:rPr>
        <w:t>Keywords</w:t>
      </w:r>
      <w:r>
        <w:rPr>
          <w:rFonts w:ascii="Times New Roman" w:eastAsia="Times New Roman" w:hAnsi="Times New Roman"/>
          <w:sz w:val="24"/>
          <w:szCs w:val="24"/>
          <w:lang w:val="id-ID" w:eastAsia="en-US"/>
        </w:rPr>
        <w:t>: Protection; Child; Victim; Intercourse</w:t>
      </w:r>
    </w:p>
    <w:p w:rsidR="00D10D59" w:rsidRDefault="00D10D59">
      <w:pPr>
        <w:pBdr>
          <w:bottom w:val="thickThinMediumGap" w:sz="18" w:space="1" w:color="000000"/>
        </w:pBdr>
        <w:spacing w:after="0" w:line="240" w:lineRule="auto"/>
        <w:rPr>
          <w:rStyle w:val="Hyperlink"/>
          <w:rFonts w:ascii="Times New Roman" w:hAnsi="Times New Roman"/>
          <w:i/>
          <w:color w:val="000000"/>
          <w:sz w:val="24"/>
          <w:szCs w:val="24"/>
          <w:u w:val="none"/>
          <w:lang w:val="id-ID" w:eastAsia="en-US"/>
        </w:rPr>
      </w:pPr>
    </w:p>
    <w:p w:rsidR="00D10D59" w:rsidRDefault="00D10D59">
      <w:pPr>
        <w:spacing w:after="0" w:line="240" w:lineRule="auto"/>
        <w:rPr>
          <w:rFonts w:ascii="Book Antiqua" w:hAnsi="Book Antiqua" w:cs="Book Antiqua"/>
          <w:i/>
          <w:sz w:val="24"/>
          <w:szCs w:val="24"/>
          <w:lang w:val="id-ID" w:eastAsia="en-US"/>
        </w:rPr>
      </w:pPr>
    </w:p>
    <w:p w:rsidR="00D10D59" w:rsidRDefault="005F61D9">
      <w:pPr>
        <w:spacing w:after="0" w:line="240" w:lineRule="auto"/>
        <w:rPr>
          <w:rFonts w:ascii="Book Antiqua" w:hAnsi="Book Antiqua" w:cs="Arial"/>
          <w:i/>
          <w:sz w:val="24"/>
          <w:szCs w:val="24"/>
          <w:lang w:val="id-ID" w:eastAsia="en-US"/>
        </w:rPr>
      </w:pPr>
      <w:r>
        <w:rPr>
          <w:rFonts w:ascii="Book Antiqua" w:hAnsi="Book Antiqua" w:cs="Arial"/>
          <w:i/>
          <w:sz w:val="24"/>
          <w:szCs w:val="24"/>
          <w:lang w:val="id-ID" w:eastAsia="en-US"/>
        </w:rPr>
        <w:t>© 2022 ESLAW. Faculty of Law, State University of Gorontalo</w:t>
      </w:r>
      <w:r>
        <w:br w:type="page"/>
      </w:r>
    </w:p>
    <w:p w:rsidR="00D10D59" w:rsidRDefault="005F61D9">
      <w:pPr>
        <w:pStyle w:val="ListParagraph"/>
        <w:numPr>
          <w:ilvl w:val="0"/>
          <w:numId w:val="4"/>
        </w:numPr>
        <w:spacing w:line="240" w:lineRule="auto"/>
        <w:rPr>
          <w:rFonts w:ascii="Book Antiqua" w:eastAsia="Arial Unicode MS" w:hAnsi="Book Antiqua" w:cs="Calibri Light"/>
          <w:b/>
          <w:sz w:val="28"/>
          <w:lang w:val="id-ID" w:eastAsia="en-US"/>
        </w:rPr>
      </w:pPr>
      <w:r>
        <w:rPr>
          <w:rFonts w:ascii="Book Antiqua" w:eastAsia="Arial Unicode MS" w:hAnsi="Book Antiqua" w:cs="Calibri Light"/>
          <w:b/>
          <w:sz w:val="28"/>
          <w:lang w:val="id-ID" w:eastAsia="en-US"/>
        </w:rPr>
        <w:lastRenderedPageBreak/>
        <w:t>Introduction</w:t>
      </w:r>
    </w:p>
    <w:p w:rsidR="00D10D59" w:rsidRDefault="005F61D9">
      <w:pPr>
        <w:spacing w:line="240" w:lineRule="auto"/>
        <w:jc w:val="both"/>
        <w:rPr>
          <w:rFonts w:ascii="Book Antiqua" w:hAnsi="Book Antiqua" w:cs="Book Antiqua"/>
          <w:sz w:val="24"/>
          <w:szCs w:val="24"/>
          <w:lang w:val="en-ID"/>
        </w:rPr>
      </w:pPr>
      <w:r>
        <w:rPr>
          <w:rFonts w:ascii="Book Antiqua" w:hAnsi="Book Antiqua" w:cs="Book Antiqua"/>
          <w:sz w:val="24"/>
          <w:szCs w:val="24"/>
          <w:lang w:val="en-ID"/>
        </w:rPr>
        <w:t>Everyone has their own interests, which are not only the same, but sometimes contradictory, so that legal arrangements are needed to protect those interests, which involve the interests of children regulated by legal provisions relating to child protection</w:t>
      </w:r>
      <w:r>
        <w:rPr>
          <w:rFonts w:ascii="Book Antiqua" w:hAnsi="Book Antiqua" w:cs="Book Antiqua"/>
          <w:sz w:val="24"/>
          <w:szCs w:val="24"/>
          <w:lang w:val="en-ID"/>
        </w:rPr>
        <w:t>. To ensure that a child can live normally, the State has provided a legal umbrella, namely Law Number 23 of 2002 concerning Child Protection. Child protection is all efforts made to create conditions so that every child can carry out his rights and obliga</w:t>
      </w:r>
      <w:r>
        <w:rPr>
          <w:rFonts w:ascii="Book Antiqua" w:hAnsi="Book Antiqua" w:cs="Book Antiqua"/>
          <w:sz w:val="24"/>
          <w:szCs w:val="24"/>
          <w:lang w:val="en-ID"/>
        </w:rPr>
        <w:t>tions for the development and growth of children naturally, physically, mentally and socially. And protected from violence and discrimination.</w:t>
      </w:r>
    </w:p>
    <w:p w:rsidR="00D10D59" w:rsidRDefault="005F61D9">
      <w:pPr>
        <w:spacing w:line="240" w:lineRule="auto"/>
        <w:jc w:val="both"/>
      </w:pPr>
      <w:r>
        <w:rPr>
          <w:rFonts w:ascii="Book Antiqua" w:hAnsi="Book Antiqua" w:cs="Book Antiqua"/>
          <w:sz w:val="24"/>
          <w:szCs w:val="24"/>
          <w:lang w:val="en-ID"/>
        </w:rPr>
        <w:t>The application of child protection in the form of state accountability is the state's responsibility for the pro</w:t>
      </w:r>
      <w:r>
        <w:rPr>
          <w:rFonts w:ascii="Book Antiqua" w:hAnsi="Book Antiqua" w:cs="Book Antiqua"/>
          <w:sz w:val="24"/>
          <w:szCs w:val="24"/>
          <w:lang w:val="en-ID"/>
        </w:rPr>
        <w:t>motion of children's rights, not just a legal responsibility, but also a constitutional responsibility and internationally recognized human rights. Protection of children is very important because violations of child protection are essentially violations o</w:t>
      </w:r>
      <w:r>
        <w:rPr>
          <w:rFonts w:ascii="Book Antiqua" w:hAnsi="Book Antiqua" w:cs="Book Antiqua"/>
          <w:sz w:val="24"/>
          <w:szCs w:val="24"/>
          <w:lang w:val="en-ID"/>
        </w:rPr>
        <w:t>f human rights. Furthermore, violations of children's rights are a major obstacle to the survival and development of children because children who experience violence, exploitation, neglect and other abuse will take risks, such as shorter lives, poor menta</w:t>
      </w:r>
      <w:r>
        <w:rPr>
          <w:rFonts w:ascii="Book Antiqua" w:hAnsi="Book Antiqua" w:cs="Book Antiqua"/>
          <w:sz w:val="24"/>
          <w:szCs w:val="24"/>
          <w:lang w:val="en-ID"/>
        </w:rPr>
        <w:t>l and physical health, as well as other problems. problems related to education (including dropping out of school). However, On the other hand, effective protective measures will increase children's chances to grow physically, mentally, confidently, and ha</w:t>
      </w:r>
      <w:r>
        <w:rPr>
          <w:rFonts w:ascii="Book Antiqua" w:hAnsi="Book Antiqua" w:cs="Book Antiqua"/>
          <w:sz w:val="24"/>
          <w:szCs w:val="24"/>
          <w:lang w:val="en-ID"/>
        </w:rPr>
        <w:t>ve self-esteem. In this modern era, we find so many crimes and often the victims are children. Some forms of violence in early childhood that are often found in the community are physical violence, psychological violence, sexual violence, and social violen</w:t>
      </w:r>
      <w:r>
        <w:rPr>
          <w:rFonts w:ascii="Book Antiqua" w:hAnsi="Book Antiqua" w:cs="Book Antiqua"/>
          <w:sz w:val="24"/>
          <w:szCs w:val="24"/>
          <w:lang w:val="en-ID"/>
        </w:rPr>
        <w:t>ce.</w:t>
      </w:r>
      <w:r>
        <w:rPr>
          <w:rStyle w:val="FootnoteAnchor"/>
          <w:rFonts w:ascii="Book Antiqua" w:hAnsi="Book Antiqua" w:cs="Book Antiqua"/>
          <w:sz w:val="24"/>
          <w:szCs w:val="24"/>
        </w:rPr>
        <w:footnoteReference w:id="1"/>
      </w:r>
      <w:r>
        <w:rPr>
          <w:rFonts w:ascii="Book Antiqua" w:hAnsi="Book Antiqua" w:cs="Book Antiqua"/>
          <w:sz w:val="24"/>
          <w:szCs w:val="24"/>
        </w:rPr>
        <w:t>The Ministry of Women's Empowerment and Child Protection (PPPA) has recorded 14,517 cases of child violence occurring throughout 2021. Of the 14,517 cases against children, 45.1 percent were cases of sexual violence.</w:t>
      </w:r>
      <w:r>
        <w:rPr>
          <w:rStyle w:val="FootnoteAnchor"/>
          <w:rFonts w:ascii="Book Antiqua" w:hAnsi="Book Antiqua" w:cs="Book Antiqua"/>
          <w:sz w:val="24"/>
          <w:szCs w:val="24"/>
          <w:lang w:val="en-ID"/>
        </w:rPr>
        <w:footnoteReference w:id="2"/>
      </w:r>
      <w:r>
        <w:rPr>
          <w:rFonts w:ascii="Book Antiqua" w:hAnsi="Book Antiqua" w:cs="Book Antiqua"/>
          <w:sz w:val="24"/>
          <w:szCs w:val="24"/>
        </w:rPr>
        <w:t xml:space="preserve"> </w:t>
      </w:r>
    </w:p>
    <w:p w:rsidR="00D10D59" w:rsidRDefault="005F61D9">
      <w:pPr>
        <w:spacing w:line="240" w:lineRule="auto"/>
        <w:jc w:val="both"/>
        <w:rPr>
          <w:rFonts w:ascii="Book Antiqua" w:hAnsi="Book Antiqua" w:cs="Book Antiqua"/>
          <w:sz w:val="24"/>
          <w:szCs w:val="24"/>
          <w:lang w:val="id-ID"/>
        </w:rPr>
      </w:pPr>
      <w:r>
        <w:rPr>
          <w:rFonts w:ascii="Book Antiqua" w:hAnsi="Book Antiqua" w:cs="Book Antiqua"/>
          <w:sz w:val="24"/>
          <w:szCs w:val="24"/>
          <w:lang w:val="en-ID"/>
        </w:rPr>
        <w:t>Crime is a reality in life that s</w:t>
      </w:r>
      <w:r>
        <w:rPr>
          <w:rFonts w:ascii="Book Antiqua" w:hAnsi="Book Antiqua" w:cs="Book Antiqua"/>
          <w:sz w:val="24"/>
          <w:szCs w:val="24"/>
          <w:lang w:val="en-ID"/>
        </w:rPr>
        <w:t>till requires special handling. This is because crime creates unrest in people's lives in general. Therefore, various efforts are always made to overcome these crimes, although in reality it is very difficult to eradicate crime completely because basically</w:t>
      </w:r>
      <w:r>
        <w:rPr>
          <w:rFonts w:ascii="Book Antiqua" w:hAnsi="Book Antiqua" w:cs="Book Antiqua"/>
          <w:sz w:val="24"/>
          <w:szCs w:val="24"/>
          <w:lang w:val="en-ID"/>
        </w:rPr>
        <w:t xml:space="preserve"> crime will always develop along with the development of society.</w:t>
      </w:r>
      <w:r>
        <w:rPr>
          <w:rStyle w:val="FootnoteAnchor"/>
          <w:rFonts w:ascii="Book Antiqua" w:hAnsi="Book Antiqua" w:cs="Book Antiqua"/>
          <w:sz w:val="24"/>
          <w:szCs w:val="24"/>
          <w:lang w:val="en-ID"/>
        </w:rPr>
        <w:footnoteReference w:id="3"/>
      </w:r>
    </w:p>
    <w:p w:rsidR="00D10D59" w:rsidRDefault="005F61D9">
      <w:pPr>
        <w:spacing w:line="240" w:lineRule="auto"/>
        <w:jc w:val="both"/>
        <w:rPr>
          <w:rFonts w:ascii="Book Antiqua" w:hAnsi="Book Antiqua" w:cs="Book Antiqua"/>
          <w:sz w:val="24"/>
          <w:szCs w:val="24"/>
        </w:rPr>
      </w:pPr>
      <w:r>
        <w:rPr>
          <w:rFonts w:ascii="Book Antiqua" w:hAnsi="Book Antiqua" w:cs="Book Antiqua"/>
          <w:sz w:val="24"/>
          <w:szCs w:val="24"/>
          <w:lang w:val="id-ID" w:eastAsia="en-US"/>
        </w:rPr>
        <w:t xml:space="preserve">Meeting the necessities of life there are often crimes and violations committed by certain people and people who threaten some members of the community, </w:t>
      </w:r>
      <w:r>
        <w:rPr>
          <w:rFonts w:ascii="Book Antiqua" w:hAnsi="Book Antiqua" w:cs="Book Antiqua"/>
          <w:sz w:val="24"/>
          <w:szCs w:val="24"/>
          <w:lang w:val="id-ID" w:eastAsia="en-US"/>
        </w:rPr>
        <w:lastRenderedPageBreak/>
        <w:t>threatening actions are criminal act</w:t>
      </w:r>
      <w:r>
        <w:rPr>
          <w:rFonts w:ascii="Book Antiqua" w:hAnsi="Book Antiqua" w:cs="Book Antiqua"/>
          <w:sz w:val="24"/>
          <w:szCs w:val="24"/>
          <w:lang w:val="id-ID" w:eastAsia="en-US"/>
        </w:rPr>
        <w:t>s.</w:t>
      </w:r>
      <w:r>
        <w:rPr>
          <w:rStyle w:val="FootnoteAnchor"/>
          <w:rFonts w:ascii="Book Antiqua" w:hAnsi="Book Antiqua" w:cs="Book Antiqua"/>
          <w:sz w:val="24"/>
          <w:szCs w:val="24"/>
          <w:lang w:val="id-ID" w:eastAsia="en-US"/>
        </w:rPr>
        <w:footnoteReference w:id="4"/>
      </w:r>
      <w:r>
        <w:rPr>
          <w:rFonts w:ascii="Book Antiqua" w:hAnsi="Book Antiqua" w:cs="Book Antiqua"/>
          <w:sz w:val="24"/>
          <w:szCs w:val="24"/>
          <w:lang w:val="id-ID" w:eastAsia="en-US"/>
        </w:rPr>
        <w:t>A criminal act is an act which by a rule of law is prohibited and is punishable by punishment, provided that at the same time it is remembered that the prohibition is aimed at the act, (i.e. a situation and event caused by the behavior of a person), whi</w:t>
      </w:r>
      <w:r>
        <w:rPr>
          <w:rFonts w:ascii="Book Antiqua" w:hAnsi="Book Antiqua" w:cs="Book Antiqua"/>
          <w:sz w:val="24"/>
          <w:szCs w:val="24"/>
          <w:lang w:val="id-ID" w:eastAsia="en-US"/>
        </w:rPr>
        <w:t>le the criminal threat is directed at the person who caused the incident.</w:t>
      </w:r>
      <w:r>
        <w:rPr>
          <w:rStyle w:val="FootnoteAnchor"/>
          <w:rFonts w:ascii="Book Antiqua" w:hAnsi="Book Antiqua" w:cs="Book Antiqua"/>
          <w:sz w:val="24"/>
          <w:szCs w:val="24"/>
        </w:rPr>
        <w:footnoteReference w:id="5"/>
      </w:r>
      <w:r>
        <w:rPr>
          <w:rFonts w:ascii="Book Antiqua" w:hAnsi="Book Antiqua" w:cs="Book Antiqua"/>
          <w:sz w:val="24"/>
          <w:szCs w:val="24"/>
          <w:lang w:val="id-ID"/>
        </w:rPr>
        <w:t>We can easily find crimes against children either through television, social media, newspapers, and so on, it is quite heartbreaking for a nation that upholds morality as well as a p</w:t>
      </w:r>
      <w:r>
        <w:rPr>
          <w:rFonts w:ascii="Book Antiqua" w:hAnsi="Book Antiqua" w:cs="Book Antiqua"/>
          <w:sz w:val="24"/>
          <w:szCs w:val="24"/>
          <w:lang w:val="id-ID"/>
        </w:rPr>
        <w:t>ortrait of the nation, is a benchmark for the nation's civilization, therefore it must be carried out in accordance with the capabilities of the homeland and nation. . Child protection activities are a legal action that has legal consequences.</w:t>
      </w:r>
      <w:r>
        <w:rPr>
          <w:rStyle w:val="FootnoteAnchor"/>
          <w:rFonts w:ascii="Book Antiqua" w:hAnsi="Book Antiqua" w:cs="Book Antiqua"/>
          <w:sz w:val="24"/>
          <w:szCs w:val="24"/>
          <w:lang w:val="en-ID"/>
        </w:rPr>
        <w:footnoteReference w:id="6"/>
      </w:r>
      <w:r>
        <w:rPr>
          <w:rFonts w:ascii="Book Antiqua" w:hAnsi="Book Antiqua" w:cs="Book Antiqua"/>
          <w:sz w:val="24"/>
          <w:szCs w:val="24"/>
        </w:rPr>
        <w:t>Therefore, crime is categorized as a major problem in people's lives.</w:t>
      </w:r>
      <w:r>
        <w:rPr>
          <w:rStyle w:val="FootnoteAnchor"/>
          <w:rFonts w:ascii="Book Antiqua" w:hAnsi="Book Antiqua" w:cs="Book Antiqua"/>
          <w:sz w:val="24"/>
          <w:szCs w:val="24"/>
        </w:rPr>
        <w:footnoteReference w:id="7"/>
      </w:r>
    </w:p>
    <w:p w:rsidR="00D10D59" w:rsidRDefault="005F61D9">
      <w:pPr>
        <w:spacing w:line="240" w:lineRule="auto"/>
        <w:jc w:val="both"/>
        <w:rPr>
          <w:rFonts w:ascii="Book Antiqua" w:hAnsi="Book Antiqua" w:cs="Book Antiqua"/>
          <w:sz w:val="24"/>
          <w:szCs w:val="24"/>
          <w:lang w:val="id-ID"/>
        </w:rPr>
      </w:pPr>
      <w:r>
        <w:rPr>
          <w:rFonts w:ascii="Book Antiqua" w:hAnsi="Book Antiqua" w:cs="Book Antiqua"/>
          <w:sz w:val="24"/>
          <w:szCs w:val="24"/>
          <w:lang w:val="id-ID"/>
        </w:rPr>
        <w:t>Considering that crime prevention efforts through non-penal channels are more of a preventive measure for the occurrence of crime, the main target is to deal with these conducive factor</w:t>
      </w:r>
      <w:r>
        <w:rPr>
          <w:rFonts w:ascii="Book Antiqua" w:hAnsi="Book Antiqua" w:cs="Book Antiqua"/>
          <w:sz w:val="24"/>
          <w:szCs w:val="24"/>
          <w:lang w:val="id-ID"/>
        </w:rPr>
        <w:t>s, including social conditions that can directly and indirectly lead to or foster crime.</w:t>
      </w:r>
      <w:r>
        <w:rPr>
          <w:rStyle w:val="FootnoteAnchor"/>
          <w:rFonts w:ascii="Book Antiqua" w:hAnsi="Book Antiqua" w:cs="Book Antiqua"/>
          <w:sz w:val="24"/>
          <w:szCs w:val="24"/>
        </w:rPr>
        <w:footnoteReference w:id="8"/>
      </w:r>
      <w:r>
        <w:rPr>
          <w:rFonts w:ascii="Book Antiqua" w:hAnsi="Book Antiqua" w:cs="Book Antiqua"/>
          <w:sz w:val="24"/>
          <w:szCs w:val="24"/>
          <w:lang w:val="id-ID"/>
        </w:rPr>
        <w:t>The application and enforcement of the law are elements of the legal system that must be continuously addressed in order to realize a legal position in a legal state t</w:t>
      </w:r>
      <w:r>
        <w:rPr>
          <w:rFonts w:ascii="Book Antiqua" w:hAnsi="Book Antiqua" w:cs="Book Antiqua"/>
          <w:sz w:val="24"/>
          <w:szCs w:val="24"/>
          <w:lang w:val="id-ID"/>
        </w:rPr>
        <w:t>hat is beneficial to the interests of the community, nation and state.</w:t>
      </w:r>
      <w:r>
        <w:rPr>
          <w:rStyle w:val="FootnoteAnchor"/>
          <w:rFonts w:ascii="Book Antiqua" w:hAnsi="Book Antiqua" w:cs="Book Antiqua"/>
          <w:sz w:val="24"/>
          <w:szCs w:val="24"/>
        </w:rPr>
        <w:footnoteReference w:id="9"/>
      </w:r>
      <w:r>
        <w:rPr>
          <w:rFonts w:ascii="Book Antiqua" w:hAnsi="Book Antiqua" w:cs="Book Antiqua"/>
          <w:sz w:val="24"/>
          <w:szCs w:val="24"/>
        </w:rPr>
        <w:t>So that society and every other person, including the government must heed it, by making laws on the basis of natural rights themselves.</w:t>
      </w:r>
      <w:r>
        <w:rPr>
          <w:rStyle w:val="FootnoteAnchor"/>
          <w:rFonts w:ascii="Book Antiqua" w:hAnsi="Book Antiqua" w:cs="Book Antiqua"/>
          <w:sz w:val="24"/>
          <w:szCs w:val="24"/>
          <w:lang w:val="id-ID" w:eastAsia="en-US"/>
        </w:rPr>
        <w:footnoteReference w:id="10"/>
      </w:r>
      <w:r>
        <w:rPr>
          <w:rFonts w:ascii="Book Antiqua" w:hAnsi="Book Antiqua" w:cs="Book Antiqua"/>
          <w:sz w:val="24"/>
          <w:szCs w:val="24"/>
          <w:lang w:eastAsia="en-US"/>
        </w:rPr>
        <w:t>The government creates order and peace in people</w:t>
      </w:r>
      <w:r>
        <w:rPr>
          <w:rFonts w:ascii="Book Antiqua" w:hAnsi="Book Antiqua" w:cs="Book Antiqua"/>
          <w:sz w:val="24"/>
          <w:szCs w:val="24"/>
          <w:lang w:eastAsia="en-US"/>
        </w:rPr>
        <w:t>'s lives, and maximizes the potential for regional development.</w:t>
      </w:r>
      <w:r>
        <w:rPr>
          <w:rStyle w:val="FootnoteAnchor"/>
          <w:rFonts w:ascii="Book Antiqua" w:hAnsi="Book Antiqua" w:cs="Book Antiqua"/>
          <w:sz w:val="24"/>
          <w:szCs w:val="24"/>
          <w:lang w:eastAsia="en-US"/>
        </w:rPr>
        <w:footnoteReference w:id="11"/>
      </w:r>
      <w:r>
        <w:rPr>
          <w:rFonts w:ascii="Book Antiqua" w:hAnsi="Book Antiqua" w:cs="Book Antiqua"/>
          <w:sz w:val="24"/>
          <w:szCs w:val="24"/>
          <w:lang w:val="id-ID" w:eastAsia="en-US"/>
        </w:rPr>
        <w:t xml:space="preserve">As said by Prof. Fenty Puluhulawa in his writings also stated that the Government through the law has provided a starting point for the judiciary, which is carried out for the sake of justice </w:t>
      </w:r>
      <w:r>
        <w:rPr>
          <w:rFonts w:ascii="Book Antiqua" w:hAnsi="Book Antiqua" w:cs="Book Antiqua"/>
          <w:sz w:val="24"/>
          <w:szCs w:val="24"/>
          <w:lang w:val="id-ID" w:eastAsia="en-US"/>
        </w:rPr>
        <w:t>based on the One Godhead.</w:t>
      </w:r>
      <w:r>
        <w:rPr>
          <w:rStyle w:val="FootnoteAnchor"/>
          <w:rFonts w:ascii="Book Antiqua" w:hAnsi="Book Antiqua" w:cs="Book Antiqua"/>
          <w:bCs/>
          <w:sz w:val="24"/>
          <w:szCs w:val="24"/>
          <w:lang w:val="id-ID" w:eastAsia="en-US"/>
        </w:rPr>
        <w:footnoteReference w:id="12"/>
      </w:r>
    </w:p>
    <w:p w:rsidR="00D10D59" w:rsidRDefault="005F61D9">
      <w:pPr>
        <w:spacing w:line="240" w:lineRule="auto"/>
        <w:jc w:val="both"/>
        <w:rPr>
          <w:rFonts w:ascii="Book Antiqua" w:hAnsi="Book Antiqua" w:cs="Book Antiqua"/>
          <w:sz w:val="24"/>
          <w:szCs w:val="24"/>
          <w:lang w:val="id-ID"/>
        </w:rPr>
      </w:pPr>
      <w:r>
        <w:rPr>
          <w:rFonts w:ascii="Book Antiqua" w:hAnsi="Book Antiqua" w:cs="Book Antiqua"/>
          <w:sz w:val="24"/>
          <w:szCs w:val="24"/>
          <w:lang w:val="id-ID"/>
        </w:rPr>
        <w:lastRenderedPageBreak/>
        <w:t>Sexual violence against minors has become a threat in Indonesia, rampant sexual violence in Indonesia makes everyone alert because sexual violence is a form of torture against children as sexual stimulation. The abuse in question</w:t>
      </w:r>
      <w:r>
        <w:rPr>
          <w:rFonts w:ascii="Book Antiqua" w:hAnsi="Book Antiqua" w:cs="Book Antiqua"/>
          <w:sz w:val="24"/>
          <w:szCs w:val="24"/>
          <w:lang w:val="id-ID"/>
        </w:rPr>
        <w:t xml:space="preserve"> is in the form of asking or forcing children to perform sexual acts / activities, exposing sexual genitalia that are inappropriate for displaying to children, reporting pornographic content to children, having intercourse with children, making physical co</w:t>
      </w:r>
      <w:r>
        <w:rPr>
          <w:rFonts w:ascii="Book Antiqua" w:hAnsi="Book Antiqua" w:cs="Book Antiqua"/>
          <w:sz w:val="24"/>
          <w:szCs w:val="24"/>
          <w:lang w:val="id-ID"/>
        </w:rPr>
        <w:t>ntact with the genitals. from a child (except for certain activities, for example a medical examination of the child), looking at the genitals of a child by not making physical contact (except in non-sexual contexts,</w:t>
      </w:r>
      <w:r>
        <w:rPr>
          <w:rStyle w:val="FootnoteAnchor"/>
          <w:rFonts w:ascii="Book Antiqua" w:hAnsi="Book Antiqua" w:cs="Book Antiqua"/>
          <w:sz w:val="24"/>
          <w:szCs w:val="24"/>
          <w:lang w:val="en-ID"/>
        </w:rPr>
        <w:footnoteReference w:id="13"/>
      </w:r>
      <w:r>
        <w:rPr>
          <w:rFonts w:ascii="Book Antiqua" w:hAnsi="Book Antiqua" w:cs="Book Antiqua"/>
          <w:sz w:val="24"/>
          <w:szCs w:val="24"/>
          <w:lang w:val="id-ID"/>
        </w:rPr>
        <w:t>Indirectly, the perpetrators must and m</w:t>
      </w:r>
      <w:r>
        <w:rPr>
          <w:rFonts w:ascii="Book Antiqua" w:hAnsi="Book Antiqua" w:cs="Book Antiqua"/>
          <w:sz w:val="24"/>
          <w:szCs w:val="24"/>
          <w:lang w:val="id-ID"/>
        </w:rPr>
        <w:t>ust be processed legally.</w:t>
      </w:r>
      <w:r>
        <w:rPr>
          <w:rStyle w:val="FootnoteAnchor"/>
          <w:rFonts w:ascii="Book Antiqua" w:hAnsi="Book Antiqua" w:cs="Book Antiqua"/>
          <w:sz w:val="24"/>
          <w:szCs w:val="24"/>
          <w:lang w:val="id-ID" w:eastAsia="en-US"/>
        </w:rPr>
        <w:footnoteReference w:id="14"/>
      </w:r>
      <w:r>
        <w:rPr>
          <w:rFonts w:ascii="Book Antiqua" w:hAnsi="Book Antiqua" w:cs="Book Antiqua"/>
          <w:sz w:val="24"/>
          <w:szCs w:val="24"/>
          <w:lang w:val="id-ID" w:eastAsia="en-US"/>
        </w:rPr>
        <w:t xml:space="preserve"> </w:t>
      </w:r>
      <w:r>
        <w:rPr>
          <w:rFonts w:ascii="Book Antiqua" w:eastAsia="Times New Roman" w:hAnsi="Book Antiqua" w:cs="Book Antiqua"/>
          <w:sz w:val="24"/>
          <w:szCs w:val="24"/>
          <w:lang w:eastAsia="en-US"/>
        </w:rPr>
        <w:t>Many criminal acts have been processed in court, but from those cases the perpetrators were not sentenced to the maximum sentence in accordance with the provisions of the legislation.</w:t>
      </w:r>
      <w:r>
        <w:rPr>
          <w:rStyle w:val="FootnoteAnchor"/>
          <w:rFonts w:ascii="Book Antiqua" w:eastAsia="Times New Roman" w:hAnsi="Book Antiqua" w:cs="Book Antiqua"/>
          <w:sz w:val="24"/>
          <w:szCs w:val="24"/>
          <w:lang w:eastAsia="en-US"/>
        </w:rPr>
        <w:footnoteReference w:id="15"/>
      </w:r>
      <w:r>
        <w:rPr>
          <w:rFonts w:ascii="Book Antiqua" w:eastAsia="Times New Roman" w:hAnsi="Book Antiqua" w:cs="Book Antiqua"/>
          <w:sz w:val="24"/>
          <w:szCs w:val="24"/>
          <w:lang w:val="id-ID" w:eastAsia="en-US"/>
        </w:rPr>
        <w:t xml:space="preserve"> </w:t>
      </w:r>
      <w:r>
        <w:rPr>
          <w:rFonts w:ascii="Book Antiqua" w:hAnsi="Book Antiqua" w:cs="Book Antiqua"/>
          <w:sz w:val="24"/>
          <w:szCs w:val="24"/>
          <w:lang w:val="id-ID" w:eastAsia="en-US"/>
        </w:rPr>
        <w:t xml:space="preserve">Legal protection is very necessary because </w:t>
      </w:r>
      <w:r>
        <w:rPr>
          <w:rFonts w:ascii="Book Antiqua" w:hAnsi="Book Antiqua" w:cs="Book Antiqua"/>
          <w:sz w:val="24"/>
          <w:szCs w:val="24"/>
          <w:lang w:val="id-ID" w:eastAsia="en-US"/>
        </w:rPr>
        <w:t>it is an effort to integrate various needs in the association so that there is no conflict between needs and can enjoy all the rights granted by law.</w:t>
      </w:r>
      <w:r>
        <w:rPr>
          <w:rStyle w:val="FootnoteAnchor"/>
          <w:rFonts w:ascii="Book Antiqua" w:hAnsi="Book Antiqua" w:cs="Book Antiqua"/>
          <w:sz w:val="24"/>
          <w:szCs w:val="24"/>
          <w:lang w:val="id-ID" w:eastAsia="en-US"/>
        </w:rPr>
        <w:footnoteReference w:id="16"/>
      </w:r>
    </w:p>
    <w:p w:rsidR="00D10D59" w:rsidRDefault="005F61D9">
      <w:pPr>
        <w:spacing w:line="240" w:lineRule="auto"/>
        <w:jc w:val="both"/>
      </w:pPr>
      <w:r>
        <w:rPr>
          <w:rFonts w:ascii="Book Antiqua" w:hAnsi="Book Antiqua" w:cs="Book Antiqua"/>
          <w:sz w:val="24"/>
          <w:szCs w:val="24"/>
          <w:lang w:val="id-ID"/>
        </w:rPr>
        <w:t>Violence, harassment, and sexual exploitation do not only happen to adult women, but also women who are c</w:t>
      </w:r>
      <w:r>
        <w:rPr>
          <w:rFonts w:ascii="Book Antiqua" w:hAnsi="Book Antiqua" w:cs="Book Antiqua"/>
          <w:sz w:val="24"/>
          <w:szCs w:val="24"/>
          <w:lang w:val="id-ID"/>
        </w:rPr>
        <w:t>lassified as minors (children), this sexual crime also does not only take place in companies, offices, or certain places that provide opportunities for Humans of different types can communicate with each other, but it can also occur in the family environme</w:t>
      </w:r>
      <w:r>
        <w:rPr>
          <w:rFonts w:ascii="Book Antiqua" w:hAnsi="Book Antiqua" w:cs="Book Antiqua"/>
          <w:sz w:val="24"/>
          <w:szCs w:val="24"/>
          <w:lang w:val="id-ID"/>
        </w:rPr>
        <w:t>nt.</w:t>
      </w:r>
      <w:r>
        <w:rPr>
          <w:rStyle w:val="FootnoteAnchor"/>
          <w:rFonts w:ascii="Book Antiqua" w:hAnsi="Book Antiqua" w:cs="Book Antiqua"/>
          <w:sz w:val="24"/>
          <w:szCs w:val="24"/>
          <w:lang w:val="en-ID"/>
        </w:rPr>
        <w:footnoteReference w:id="17"/>
      </w:r>
      <w:r>
        <w:rPr>
          <w:rFonts w:ascii="Book Antiqua" w:hAnsi="Book Antiqua" w:cs="Book Antiqua"/>
          <w:sz w:val="24"/>
          <w:szCs w:val="24"/>
          <w:vertAlign w:val="superscript"/>
          <w:lang w:val="id-ID" w:eastAsia="en-US"/>
        </w:rPr>
        <w:t xml:space="preserve"> </w:t>
      </w:r>
      <w:r>
        <w:rPr>
          <w:rFonts w:ascii="Book Antiqua" w:hAnsi="Book Antiqua" w:cs="Book Antiqua"/>
          <w:sz w:val="24"/>
          <w:szCs w:val="24"/>
          <w:lang w:val="id-ID"/>
        </w:rPr>
        <w:t xml:space="preserve"> </w:t>
      </w:r>
    </w:p>
    <w:p w:rsidR="00D10D59" w:rsidRDefault="005F61D9">
      <w:pPr>
        <w:spacing w:line="240" w:lineRule="auto"/>
        <w:jc w:val="both"/>
        <w:rPr>
          <w:rFonts w:ascii="Book Antiqua" w:hAnsi="Book Antiqua" w:cs="Book Antiqua"/>
          <w:sz w:val="24"/>
          <w:szCs w:val="24"/>
          <w:lang w:val="en-ID"/>
        </w:rPr>
      </w:pPr>
      <w:r>
        <w:rPr>
          <w:rFonts w:ascii="Book Antiqua" w:hAnsi="Book Antiqua" w:cs="Book Antiqua"/>
          <w:sz w:val="24"/>
          <w:szCs w:val="24"/>
          <w:lang w:val="en-ID"/>
        </w:rPr>
        <w:t>Sexual intercourse with a minor will certainly have an impact on the psychological and other developments of the child, especially for the victim. Psychological impact on children will give birth to prolonged trauma which can then give birth to unhe</w:t>
      </w:r>
      <w:r>
        <w:rPr>
          <w:rFonts w:ascii="Book Antiqua" w:hAnsi="Book Antiqua" w:cs="Book Antiqua"/>
          <w:sz w:val="24"/>
          <w:szCs w:val="24"/>
          <w:lang w:val="en-ID"/>
        </w:rPr>
        <w:t>althy attitudes, such as inferiority, excessive fear, disturbed mental development, and ultimately mental retardation. This situation may be a bad memory for the child victims of sexual intercourse. Children who are victims of sexual intercourse suffer man</w:t>
      </w:r>
      <w:r>
        <w:rPr>
          <w:rFonts w:ascii="Book Antiqua" w:hAnsi="Book Antiqua" w:cs="Book Antiqua"/>
          <w:sz w:val="24"/>
          <w:szCs w:val="24"/>
          <w:lang w:val="en-ID"/>
        </w:rPr>
        <w:t>y losses, not only material, but also immaterial such as emotional and psychological shocks, which can affect the child's future life. Sexual intercourse is a crime that is classified as decency. Sexual intercourse can be said to be a violation of moral va</w:t>
      </w:r>
      <w:r>
        <w:rPr>
          <w:rFonts w:ascii="Book Antiqua" w:hAnsi="Book Antiqua" w:cs="Book Antiqua"/>
          <w:sz w:val="24"/>
          <w:szCs w:val="24"/>
          <w:lang w:val="en-ID"/>
        </w:rPr>
        <w:t>lues ​​and therefore also a violation of the law. There have been a lot of things that have been going on lately. It is widely reported in the media that children are victims of sexual crimes. No exception, in Bone Bolango Regency, one of the victims of se</w:t>
      </w:r>
      <w:r>
        <w:rPr>
          <w:rFonts w:ascii="Book Antiqua" w:hAnsi="Book Antiqua" w:cs="Book Antiqua"/>
          <w:sz w:val="24"/>
          <w:szCs w:val="24"/>
          <w:lang w:val="en-ID"/>
        </w:rPr>
        <w:t xml:space="preserve">xual </w:t>
      </w:r>
      <w:r>
        <w:rPr>
          <w:rFonts w:ascii="Book Antiqua" w:hAnsi="Book Antiqua" w:cs="Book Antiqua"/>
          <w:sz w:val="24"/>
          <w:szCs w:val="24"/>
          <w:lang w:val="en-ID"/>
        </w:rPr>
        <w:lastRenderedPageBreak/>
        <w:t xml:space="preserve">intercourse was even carried out by people who were closest to the victim. The following is the case data for the Criminal Investigation Unit of the Bone Bolango Police in the last three years as follows: No exception, in Bone Bolango Regency, one of </w:t>
      </w:r>
      <w:r>
        <w:rPr>
          <w:rFonts w:ascii="Book Antiqua" w:hAnsi="Book Antiqua" w:cs="Book Antiqua"/>
          <w:sz w:val="24"/>
          <w:szCs w:val="24"/>
          <w:lang w:val="en-ID"/>
        </w:rPr>
        <w:t>the victims of sexual intercourse was even carried out by people who were closest to the victim. The following is the case data for the Criminal Investigation Unit of the Bone Bolango Police in the last three years as follows: No exception, in Bone Bolango</w:t>
      </w:r>
      <w:r>
        <w:rPr>
          <w:rFonts w:ascii="Book Antiqua" w:hAnsi="Book Antiqua" w:cs="Book Antiqua"/>
          <w:sz w:val="24"/>
          <w:szCs w:val="24"/>
          <w:lang w:val="en-ID"/>
        </w:rPr>
        <w:t xml:space="preserve"> Regency, one of the victims of sexual intercourse was even carried out by people who were closest to the victim. The following is the case data for the Criminal Investigation Unit of the Bone Bolango Police in the last three years as follows:</w:t>
      </w:r>
      <w:r>
        <w:rPr>
          <w:rStyle w:val="FootnoteAnchor"/>
          <w:rFonts w:ascii="Book Antiqua" w:hAnsi="Book Antiqua" w:cs="Book Antiqua"/>
          <w:sz w:val="24"/>
          <w:szCs w:val="24"/>
          <w:lang w:val="en-ID"/>
        </w:rPr>
        <w:footnoteReference w:id="18"/>
      </w:r>
    </w:p>
    <w:p w:rsidR="00D10D59" w:rsidRDefault="005F61D9">
      <w:pPr>
        <w:spacing w:line="240" w:lineRule="auto"/>
        <w:jc w:val="center"/>
      </w:pPr>
      <w:r>
        <w:rPr>
          <w:rFonts w:ascii="Book Antiqua" w:hAnsi="Book Antiqua" w:cs="Book Antiqua"/>
          <w:b/>
          <w:sz w:val="24"/>
          <w:szCs w:val="24"/>
          <w:lang w:val="en-ID"/>
        </w:rPr>
        <w:t>Table 1.1 C</w:t>
      </w:r>
      <w:r>
        <w:rPr>
          <w:rFonts w:ascii="Book Antiqua" w:hAnsi="Book Antiqua" w:cs="Book Antiqua"/>
          <w:b/>
          <w:sz w:val="24"/>
          <w:szCs w:val="24"/>
          <w:lang w:val="en-ID"/>
        </w:rPr>
        <w:t>ases of Sexual Intercourse against Children in the Legal Territory of the Bone Bolango Police</w:t>
      </w:r>
      <w:r>
        <w:rPr>
          <w:rFonts w:ascii="Book Antiqua" w:hAnsi="Book Antiqua" w:cs="Book Antiqua"/>
          <w:b/>
          <w:sz w:val="24"/>
          <w:szCs w:val="24"/>
          <w:lang w:val="en-ID"/>
        </w:rPr>
        <w:br/>
      </w:r>
    </w:p>
    <w:tbl>
      <w:tblPr>
        <w:tblW w:w="6840" w:type="dxa"/>
        <w:jc w:val="center"/>
        <w:tblLayout w:type="fixed"/>
        <w:tblLook w:val="0000" w:firstRow="0" w:lastRow="0" w:firstColumn="0" w:lastColumn="0" w:noHBand="0" w:noVBand="0"/>
      </w:tblPr>
      <w:tblGrid>
        <w:gridCol w:w="3570"/>
        <w:gridCol w:w="3270"/>
      </w:tblGrid>
      <w:tr w:rsidR="00D10D59">
        <w:trPr>
          <w:jc w:val="center"/>
        </w:trPr>
        <w:tc>
          <w:tcPr>
            <w:tcW w:w="3570" w:type="dxa"/>
            <w:tcBorders>
              <w:bottom w:val="single" w:sz="4" w:space="0" w:color="000000"/>
            </w:tcBorders>
            <w:vAlign w:val="center"/>
          </w:tcPr>
          <w:p w:rsidR="00D10D59" w:rsidRDefault="005F61D9">
            <w:pPr>
              <w:spacing w:after="0" w:line="240" w:lineRule="auto"/>
              <w:jc w:val="center"/>
              <w:rPr>
                <w:rFonts w:ascii="Book Antiqua" w:hAnsi="Book Antiqua" w:cs="Book Antiqua"/>
                <w:b/>
                <w:sz w:val="24"/>
                <w:szCs w:val="24"/>
                <w:lang w:val="en-ID"/>
              </w:rPr>
            </w:pPr>
            <w:r>
              <w:rPr>
                <w:rFonts w:ascii="Book Antiqua" w:hAnsi="Book Antiqua" w:cs="Book Antiqua"/>
                <w:b/>
                <w:sz w:val="24"/>
                <w:szCs w:val="24"/>
                <w:lang w:val="en-ID"/>
              </w:rPr>
              <w:t>Year</w:t>
            </w:r>
          </w:p>
        </w:tc>
        <w:tc>
          <w:tcPr>
            <w:tcW w:w="3270" w:type="dxa"/>
            <w:tcBorders>
              <w:bottom w:val="single" w:sz="4" w:space="0" w:color="000000"/>
            </w:tcBorders>
            <w:vAlign w:val="center"/>
          </w:tcPr>
          <w:p w:rsidR="00D10D59" w:rsidRDefault="005F61D9">
            <w:pPr>
              <w:tabs>
                <w:tab w:val="left" w:pos="567"/>
              </w:tabs>
              <w:spacing w:after="0" w:line="240" w:lineRule="auto"/>
              <w:jc w:val="center"/>
              <w:rPr>
                <w:rFonts w:ascii="Book Antiqua" w:hAnsi="Book Antiqua" w:cs="Book Antiqua"/>
                <w:b/>
                <w:sz w:val="24"/>
                <w:szCs w:val="24"/>
                <w:lang w:val="en-ID"/>
              </w:rPr>
            </w:pPr>
            <w:r>
              <w:rPr>
                <w:rFonts w:ascii="Book Antiqua" w:hAnsi="Book Antiqua" w:cs="Book Antiqua"/>
                <w:b/>
                <w:sz w:val="24"/>
                <w:szCs w:val="24"/>
                <w:lang w:val="en-ID"/>
              </w:rPr>
              <w:t>Number of Cases</w:t>
            </w:r>
          </w:p>
        </w:tc>
      </w:tr>
      <w:tr w:rsidR="00D10D59">
        <w:trPr>
          <w:jc w:val="center"/>
        </w:trPr>
        <w:tc>
          <w:tcPr>
            <w:tcW w:w="3570" w:type="dxa"/>
            <w:tcBorders>
              <w:top w:val="single" w:sz="4" w:space="0" w:color="000000"/>
            </w:tcBorders>
            <w:vAlign w:val="center"/>
          </w:tcPr>
          <w:p w:rsidR="00D10D59" w:rsidRDefault="005F61D9">
            <w:pPr>
              <w:spacing w:after="0" w:line="240" w:lineRule="auto"/>
              <w:jc w:val="center"/>
              <w:rPr>
                <w:rFonts w:ascii="Book Antiqua" w:hAnsi="Book Antiqua" w:cs="Book Antiqua"/>
                <w:sz w:val="24"/>
                <w:szCs w:val="24"/>
                <w:lang w:val="en-ID"/>
              </w:rPr>
            </w:pPr>
            <w:r>
              <w:rPr>
                <w:rFonts w:ascii="Book Antiqua" w:hAnsi="Book Antiqua" w:cs="Book Antiqua"/>
                <w:sz w:val="24"/>
                <w:szCs w:val="24"/>
                <w:lang w:val="en-ID"/>
              </w:rPr>
              <w:t>2019</w:t>
            </w:r>
          </w:p>
        </w:tc>
        <w:tc>
          <w:tcPr>
            <w:tcW w:w="3270" w:type="dxa"/>
            <w:tcBorders>
              <w:top w:val="single" w:sz="4" w:space="0" w:color="000000"/>
            </w:tcBorders>
            <w:vAlign w:val="center"/>
          </w:tcPr>
          <w:p w:rsidR="00D10D59" w:rsidRDefault="005F61D9">
            <w:pPr>
              <w:spacing w:after="0" w:line="240" w:lineRule="auto"/>
              <w:jc w:val="center"/>
              <w:rPr>
                <w:rFonts w:ascii="Book Antiqua" w:hAnsi="Book Antiqua" w:cs="Book Antiqua"/>
                <w:sz w:val="24"/>
                <w:szCs w:val="24"/>
                <w:lang w:val="en-ID"/>
              </w:rPr>
            </w:pPr>
            <w:r>
              <w:rPr>
                <w:rFonts w:ascii="Book Antiqua" w:hAnsi="Book Antiqua" w:cs="Book Antiqua"/>
                <w:sz w:val="24"/>
                <w:szCs w:val="24"/>
                <w:lang w:val="en-ID"/>
              </w:rPr>
              <w:t>5</w:t>
            </w:r>
          </w:p>
        </w:tc>
      </w:tr>
      <w:tr w:rsidR="00D10D59">
        <w:trPr>
          <w:jc w:val="center"/>
        </w:trPr>
        <w:tc>
          <w:tcPr>
            <w:tcW w:w="3570" w:type="dxa"/>
            <w:vAlign w:val="center"/>
          </w:tcPr>
          <w:p w:rsidR="00D10D59" w:rsidRDefault="005F61D9">
            <w:pPr>
              <w:spacing w:after="0" w:line="240" w:lineRule="auto"/>
              <w:jc w:val="center"/>
              <w:rPr>
                <w:rFonts w:ascii="Book Antiqua" w:hAnsi="Book Antiqua" w:cs="Book Antiqua"/>
                <w:sz w:val="24"/>
                <w:szCs w:val="24"/>
                <w:lang w:val="en-ID"/>
              </w:rPr>
            </w:pPr>
            <w:r>
              <w:rPr>
                <w:rFonts w:ascii="Book Antiqua" w:hAnsi="Book Antiqua" w:cs="Book Antiqua"/>
                <w:sz w:val="24"/>
                <w:szCs w:val="24"/>
                <w:lang w:val="en-ID"/>
              </w:rPr>
              <w:t>2020</w:t>
            </w:r>
          </w:p>
        </w:tc>
        <w:tc>
          <w:tcPr>
            <w:tcW w:w="3270" w:type="dxa"/>
            <w:vAlign w:val="center"/>
          </w:tcPr>
          <w:p w:rsidR="00D10D59" w:rsidRDefault="005F61D9">
            <w:pPr>
              <w:spacing w:after="0" w:line="240" w:lineRule="auto"/>
              <w:jc w:val="center"/>
              <w:rPr>
                <w:rFonts w:ascii="Book Antiqua" w:hAnsi="Book Antiqua" w:cs="Book Antiqua"/>
                <w:sz w:val="24"/>
                <w:szCs w:val="24"/>
                <w:lang w:val="en-ID"/>
              </w:rPr>
            </w:pPr>
            <w:r>
              <w:rPr>
                <w:rFonts w:ascii="Book Antiqua" w:hAnsi="Book Antiqua" w:cs="Book Antiqua"/>
                <w:sz w:val="24"/>
                <w:szCs w:val="24"/>
              </w:rPr>
              <w:t>8</w:t>
            </w:r>
          </w:p>
        </w:tc>
      </w:tr>
      <w:tr w:rsidR="00D10D59">
        <w:trPr>
          <w:jc w:val="center"/>
        </w:trPr>
        <w:tc>
          <w:tcPr>
            <w:tcW w:w="3570" w:type="dxa"/>
            <w:vAlign w:val="center"/>
          </w:tcPr>
          <w:p w:rsidR="00D10D59" w:rsidRDefault="005F61D9">
            <w:pPr>
              <w:spacing w:after="0" w:line="240" w:lineRule="auto"/>
              <w:jc w:val="center"/>
              <w:rPr>
                <w:rFonts w:ascii="Book Antiqua" w:hAnsi="Book Antiqua" w:cs="Book Antiqua"/>
                <w:sz w:val="24"/>
                <w:szCs w:val="24"/>
                <w:lang w:val="en-ID"/>
              </w:rPr>
            </w:pPr>
            <w:r>
              <w:rPr>
                <w:rFonts w:ascii="Book Antiqua" w:hAnsi="Book Antiqua" w:cs="Book Antiqua"/>
                <w:sz w:val="24"/>
                <w:szCs w:val="24"/>
                <w:lang w:val="en-ID"/>
              </w:rPr>
              <w:t>2021</w:t>
            </w:r>
          </w:p>
        </w:tc>
        <w:tc>
          <w:tcPr>
            <w:tcW w:w="3270" w:type="dxa"/>
            <w:vAlign w:val="center"/>
          </w:tcPr>
          <w:p w:rsidR="00D10D59" w:rsidRDefault="005F61D9">
            <w:pPr>
              <w:spacing w:after="0" w:line="240" w:lineRule="auto"/>
              <w:jc w:val="center"/>
              <w:rPr>
                <w:rFonts w:ascii="Book Antiqua" w:hAnsi="Book Antiqua" w:cs="Book Antiqua"/>
                <w:sz w:val="24"/>
                <w:szCs w:val="24"/>
                <w:lang w:val="en-ID"/>
              </w:rPr>
            </w:pPr>
            <w:r>
              <w:rPr>
                <w:rFonts w:ascii="Book Antiqua" w:hAnsi="Book Antiqua" w:cs="Book Antiqua"/>
                <w:sz w:val="24"/>
                <w:szCs w:val="24"/>
                <w:lang w:val="en-ID"/>
              </w:rPr>
              <w:t>12</w:t>
            </w:r>
          </w:p>
        </w:tc>
      </w:tr>
      <w:tr w:rsidR="00D10D59">
        <w:trPr>
          <w:jc w:val="center"/>
        </w:trPr>
        <w:tc>
          <w:tcPr>
            <w:tcW w:w="3570" w:type="dxa"/>
            <w:tcBorders>
              <w:bottom w:val="single" w:sz="4" w:space="0" w:color="000000"/>
            </w:tcBorders>
            <w:vAlign w:val="center"/>
          </w:tcPr>
          <w:p w:rsidR="00D10D59" w:rsidRDefault="005F61D9">
            <w:pPr>
              <w:spacing w:after="0" w:line="240" w:lineRule="auto"/>
              <w:jc w:val="center"/>
              <w:rPr>
                <w:rFonts w:ascii="Book Antiqua" w:hAnsi="Book Antiqua" w:cs="Book Antiqua"/>
                <w:b/>
                <w:sz w:val="24"/>
                <w:szCs w:val="24"/>
                <w:lang w:val="en-ID"/>
              </w:rPr>
            </w:pPr>
            <w:r>
              <w:rPr>
                <w:rFonts w:ascii="Book Antiqua" w:hAnsi="Book Antiqua" w:cs="Book Antiqua"/>
                <w:b/>
                <w:sz w:val="24"/>
                <w:szCs w:val="24"/>
                <w:lang w:val="en-ID"/>
              </w:rPr>
              <w:t>Total</w:t>
            </w:r>
          </w:p>
        </w:tc>
        <w:tc>
          <w:tcPr>
            <w:tcW w:w="3270" w:type="dxa"/>
            <w:tcBorders>
              <w:bottom w:val="single" w:sz="4" w:space="0" w:color="000000"/>
            </w:tcBorders>
            <w:vAlign w:val="center"/>
          </w:tcPr>
          <w:p w:rsidR="00D10D59" w:rsidRDefault="005F61D9">
            <w:pPr>
              <w:spacing w:after="0" w:line="240" w:lineRule="auto"/>
              <w:jc w:val="center"/>
              <w:rPr>
                <w:rFonts w:ascii="Book Antiqua" w:hAnsi="Book Antiqua" w:cs="Book Antiqua"/>
                <w:b/>
                <w:sz w:val="24"/>
                <w:szCs w:val="24"/>
                <w:lang w:val="en-ID"/>
              </w:rPr>
            </w:pPr>
            <w:r>
              <w:rPr>
                <w:rFonts w:ascii="Book Antiqua" w:hAnsi="Book Antiqua" w:cs="Book Antiqua"/>
                <w:b/>
                <w:sz w:val="24"/>
                <w:szCs w:val="24"/>
                <w:lang w:val="en-ID"/>
              </w:rPr>
              <w:t>25</w:t>
            </w:r>
          </w:p>
        </w:tc>
      </w:tr>
    </w:tbl>
    <w:p w:rsidR="00D10D59" w:rsidRDefault="005F61D9">
      <w:pPr>
        <w:spacing w:line="240" w:lineRule="auto"/>
        <w:ind w:left="993" w:hanging="360"/>
        <w:jc w:val="both"/>
        <w:rPr>
          <w:rFonts w:ascii="Book Antiqua" w:hAnsi="Book Antiqua" w:cs="Book Antiqua"/>
          <w:b/>
          <w:i/>
          <w:sz w:val="24"/>
          <w:szCs w:val="24"/>
          <w:lang w:val="id-ID"/>
        </w:rPr>
      </w:pPr>
      <w:r>
        <w:rPr>
          <w:rFonts w:ascii="Book Antiqua" w:hAnsi="Book Antiqua" w:cs="Book Antiqua"/>
          <w:sz w:val="24"/>
          <w:szCs w:val="24"/>
          <w:lang w:val="en-ID"/>
        </w:rPr>
        <w:tab/>
      </w:r>
      <w:r>
        <w:rPr>
          <w:rFonts w:ascii="Book Antiqua" w:hAnsi="Book Antiqua" w:cs="Book Antiqua"/>
          <w:b/>
          <w:i/>
          <w:sz w:val="24"/>
          <w:szCs w:val="24"/>
          <w:lang w:val="en-ID"/>
        </w:rPr>
        <w:t>Data Source: Bone Bolango Police, 2022</w:t>
      </w:r>
    </w:p>
    <w:p w:rsidR="00D10D59" w:rsidRDefault="005F61D9">
      <w:pPr>
        <w:spacing w:line="240" w:lineRule="auto"/>
        <w:jc w:val="both"/>
        <w:rPr>
          <w:rFonts w:ascii="Book Antiqua" w:hAnsi="Book Antiqua" w:cs="Calibri Light"/>
          <w:sz w:val="24"/>
          <w:szCs w:val="24"/>
          <w:lang w:val="id-ID" w:eastAsia="en-US"/>
        </w:rPr>
      </w:pPr>
      <w:r>
        <w:rPr>
          <w:rFonts w:ascii="Book Antiqua" w:hAnsi="Book Antiqua" w:cs="Book Antiqua"/>
          <w:sz w:val="24"/>
          <w:szCs w:val="24"/>
          <w:lang w:val="en-ID"/>
        </w:rPr>
        <w:t xml:space="preserve">Based on the table above, all cases of 25 children who have </w:t>
      </w:r>
      <w:r>
        <w:rPr>
          <w:rFonts w:ascii="Book Antiqua" w:hAnsi="Book Antiqua" w:cs="Book Antiqua"/>
          <w:sz w:val="24"/>
          <w:szCs w:val="24"/>
          <w:lang w:val="en-ID"/>
        </w:rPr>
        <w:t>become victims of sexual intercourse in the jurisdiction of the Bone Bolango Police must receive special attention. In essence, children cannot protect themselves from various kinds of actions that cause mental, physical and social losses in various fields</w:t>
      </w:r>
      <w:r>
        <w:rPr>
          <w:rFonts w:ascii="Book Antiqua" w:hAnsi="Book Antiqua" w:cs="Book Antiqua"/>
          <w:sz w:val="24"/>
          <w:szCs w:val="24"/>
          <w:lang w:val="en-ID"/>
        </w:rPr>
        <w:t xml:space="preserve"> of life. Children must be assisted by others in protecting themselves.</w:t>
      </w:r>
    </w:p>
    <w:p w:rsidR="00D10D59" w:rsidRDefault="005F61D9">
      <w:pPr>
        <w:pStyle w:val="Heading1"/>
        <w:numPr>
          <w:ilvl w:val="0"/>
          <w:numId w:val="4"/>
        </w:numPr>
        <w:spacing w:before="0" w:after="0" w:line="240" w:lineRule="auto"/>
        <w:jc w:val="both"/>
        <w:rPr>
          <w:rFonts w:ascii="Book Antiqua" w:eastAsia="Arial Unicode MS" w:hAnsi="Book Antiqua" w:cs="Calibri Light"/>
          <w:b/>
          <w:lang w:val="id-ID" w:eastAsia="en-US"/>
        </w:rPr>
      </w:pPr>
      <w:r>
        <w:rPr>
          <w:rFonts w:ascii="Book Antiqua" w:eastAsia="Arial Unicode MS" w:hAnsi="Book Antiqua" w:cs="Calibri Light"/>
          <w:b/>
          <w:lang w:val="id-ID" w:eastAsia="en-US"/>
        </w:rPr>
        <w:t>Method</w:t>
      </w:r>
    </w:p>
    <w:p w:rsidR="00D10D59" w:rsidRDefault="005F61D9">
      <w:pPr>
        <w:spacing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 xml:space="preserve">The research method used in this paper is empirical research, which is said by one of the experts Mukti Fajar that this empirical research is a research or social study. The </w:t>
      </w:r>
      <w:r>
        <w:rPr>
          <w:rFonts w:ascii="Book Antiqua" w:hAnsi="Book Antiqua" w:cs="Book Antiqua"/>
          <w:sz w:val="24"/>
          <w:szCs w:val="24"/>
          <w:lang w:val="id-ID" w:eastAsia="en-US"/>
        </w:rPr>
        <w:t>point is to look at the social facts that have occurred based on the legal facts on the ground.</w:t>
      </w:r>
      <w:r>
        <w:rPr>
          <w:rStyle w:val="FootnoteAnchor"/>
          <w:rFonts w:ascii="Book Antiqua" w:hAnsi="Book Antiqua" w:cs="Book Antiqua"/>
          <w:sz w:val="24"/>
          <w:szCs w:val="24"/>
          <w:lang w:val="id-ID" w:eastAsia="en-US"/>
        </w:rPr>
        <w:footnoteReference w:id="19"/>
      </w:r>
      <w:r>
        <w:rPr>
          <w:rFonts w:ascii="Book Antiqua" w:hAnsi="Book Antiqua" w:cs="Book Antiqua"/>
          <w:sz w:val="24"/>
          <w:szCs w:val="24"/>
          <w:lang w:val="id-ID" w:eastAsia="en-US"/>
        </w:rPr>
        <w:t>This research was conducted through interviews and real actions obtained through direct observation. While the sampling using purposive sampling and using a qua</w:t>
      </w:r>
      <w:r>
        <w:rPr>
          <w:rFonts w:ascii="Book Antiqua" w:hAnsi="Book Antiqua" w:cs="Book Antiqua"/>
          <w:sz w:val="24"/>
          <w:szCs w:val="24"/>
          <w:lang w:val="id-ID" w:eastAsia="en-US"/>
        </w:rPr>
        <w:t>litative approach and data analysis techniques using descriptive research.</w:t>
      </w:r>
    </w:p>
    <w:p w:rsidR="00D10D59" w:rsidRDefault="005F61D9">
      <w:pPr>
        <w:pStyle w:val="ListParagraph"/>
        <w:numPr>
          <w:ilvl w:val="0"/>
          <w:numId w:val="4"/>
        </w:numPr>
        <w:spacing w:after="0" w:line="240" w:lineRule="auto"/>
        <w:jc w:val="both"/>
        <w:rPr>
          <w:rFonts w:ascii="Book Antiqua" w:hAnsi="Book Antiqua" w:cs="Book Antiqua"/>
          <w:b/>
          <w:bCs/>
          <w:sz w:val="28"/>
          <w:lang w:val="id-ID" w:eastAsia="en-US"/>
        </w:rPr>
      </w:pPr>
      <w:r>
        <w:rPr>
          <w:rFonts w:ascii="Book Antiqua" w:hAnsi="Book Antiqua" w:cs="Book Antiqua"/>
          <w:b/>
          <w:bCs/>
          <w:sz w:val="28"/>
        </w:rPr>
        <w:t>Legal Protection for Children as Victims of the Crime of Sexual Intercourse</w:t>
      </w:r>
    </w:p>
    <w:p w:rsidR="00D10D59" w:rsidRDefault="005F61D9">
      <w:pPr>
        <w:spacing w:line="240" w:lineRule="auto"/>
        <w:jc w:val="both"/>
        <w:rPr>
          <w:rFonts w:ascii="Book Antiqua" w:hAnsi="Book Antiqua" w:cs="Book Antiqua"/>
          <w:sz w:val="24"/>
          <w:szCs w:val="24"/>
          <w:lang w:val="id-ID"/>
        </w:rPr>
      </w:pPr>
      <w:r>
        <w:rPr>
          <w:rFonts w:ascii="Book Antiqua" w:hAnsi="Book Antiqua" w:cs="Book Antiqua"/>
          <w:sz w:val="24"/>
          <w:szCs w:val="24"/>
          <w:lang w:val="en-ID"/>
        </w:rPr>
        <w:lastRenderedPageBreak/>
        <w:t>The problem of children is definitely not a trivial matter whose solution is enough through the act of tu</w:t>
      </w:r>
      <w:r>
        <w:rPr>
          <w:rFonts w:ascii="Book Antiqua" w:hAnsi="Book Antiqua" w:cs="Book Antiqua"/>
          <w:sz w:val="24"/>
          <w:szCs w:val="24"/>
          <w:lang w:val="en-ID"/>
        </w:rPr>
        <w:t>rning the palm of the hand, but the child is the next generation of the nation and state. The actions taken in terms of fulfilling the legal protection of children who are victims of the crime of sexual intercourse have been optimized in such a way, starti</w:t>
      </w:r>
      <w:r>
        <w:rPr>
          <w:rFonts w:ascii="Book Antiqua" w:hAnsi="Book Antiqua" w:cs="Book Antiqua"/>
          <w:sz w:val="24"/>
          <w:szCs w:val="24"/>
          <w:lang w:val="en-ID"/>
        </w:rPr>
        <w:t xml:space="preserve">ng from providing assistance to victims to the process of developing the victim's mentality resulting from the act of intercourse he experienced. Protection guarantees must also be given to children's potential, which must be developed as well as possible </w:t>
      </w:r>
      <w:r>
        <w:rPr>
          <w:rFonts w:ascii="Book Antiqua" w:hAnsi="Book Antiqua" w:cs="Book Antiqua"/>
          <w:sz w:val="24"/>
          <w:szCs w:val="24"/>
          <w:lang w:val="en-ID"/>
        </w:rPr>
        <w:t>and protected from acts of violence and discrimination so that the constitutional rights of children are guaranteed and fulfilled so that they can live, develop,</w:t>
      </w:r>
      <w:r>
        <w:rPr>
          <w:rStyle w:val="FootnoteAnchor"/>
          <w:rFonts w:ascii="Book Antiqua" w:hAnsi="Book Antiqua" w:cs="Book Antiqua"/>
          <w:sz w:val="24"/>
          <w:szCs w:val="24"/>
          <w:lang w:val="en-ID"/>
        </w:rPr>
        <w:footnoteReference w:id="20"/>
      </w:r>
    </w:p>
    <w:p w:rsidR="00D10D59" w:rsidRDefault="005F61D9">
      <w:pPr>
        <w:spacing w:line="240" w:lineRule="auto"/>
        <w:jc w:val="both"/>
        <w:rPr>
          <w:rFonts w:ascii="Book Antiqua" w:hAnsi="Book Antiqua" w:cs="Book Antiqua"/>
          <w:sz w:val="24"/>
          <w:szCs w:val="24"/>
        </w:rPr>
      </w:pPr>
      <w:r>
        <w:rPr>
          <w:rFonts w:ascii="Book Antiqua" w:hAnsi="Book Antiqua" w:cs="Book Antiqua"/>
          <w:sz w:val="24"/>
          <w:szCs w:val="24"/>
          <w:lang w:val="id-ID"/>
        </w:rPr>
        <w:t>According to Philipus M. Hadjon, "legal protection is the protection of dignity, as well as t</w:t>
      </w:r>
      <w:r>
        <w:rPr>
          <w:rFonts w:ascii="Book Antiqua" w:hAnsi="Book Antiqua" w:cs="Book Antiqua"/>
          <w:sz w:val="24"/>
          <w:szCs w:val="24"/>
          <w:lang w:val="id-ID"/>
        </w:rPr>
        <w:t>he recognition of human rights owned by legal subjects based on general provisions from arbitrariness or as a collection of rules or rules that will be able to protect something else.</w:t>
      </w:r>
      <w:r>
        <w:rPr>
          <w:rStyle w:val="FootnoteAnchor"/>
          <w:rFonts w:ascii="Book Antiqua" w:hAnsi="Book Antiqua" w:cs="Book Antiqua"/>
          <w:sz w:val="24"/>
          <w:szCs w:val="24"/>
          <w:lang w:val="en-ID"/>
        </w:rPr>
        <w:footnoteReference w:id="21"/>
      </w:r>
      <w:r>
        <w:rPr>
          <w:rFonts w:ascii="Book Antiqua" w:hAnsi="Book Antiqua" w:cs="Book Antiqua"/>
          <w:sz w:val="24"/>
          <w:szCs w:val="24"/>
          <w:lang w:val="id-ID"/>
        </w:rPr>
        <w:t>So that the degree of legal compliance depends on the law-making process</w:t>
      </w:r>
      <w:r>
        <w:rPr>
          <w:rFonts w:ascii="Book Antiqua" w:hAnsi="Book Antiqua" w:cs="Book Antiqua"/>
          <w:sz w:val="24"/>
          <w:szCs w:val="24"/>
          <w:lang w:val="id-ID"/>
        </w:rPr>
        <w:t>.</w:t>
      </w:r>
      <w:r>
        <w:rPr>
          <w:rStyle w:val="FootnoteAnchor"/>
          <w:rFonts w:ascii="Book Antiqua" w:hAnsi="Book Antiqua" w:cs="Book Antiqua"/>
          <w:sz w:val="24"/>
          <w:szCs w:val="24"/>
        </w:rPr>
        <w:footnoteReference w:id="22"/>
      </w:r>
    </w:p>
    <w:p w:rsidR="00D10D59" w:rsidRDefault="005F61D9">
      <w:pPr>
        <w:spacing w:line="240" w:lineRule="auto"/>
        <w:jc w:val="both"/>
        <w:rPr>
          <w:rFonts w:ascii="Book Antiqua" w:hAnsi="Book Antiqua" w:cs="Book Antiqua"/>
          <w:sz w:val="24"/>
          <w:szCs w:val="24"/>
          <w:lang w:val="en-ID"/>
        </w:rPr>
      </w:pPr>
      <w:r>
        <w:rPr>
          <w:rFonts w:ascii="Book Antiqua" w:hAnsi="Book Antiqua" w:cs="Book Antiqua"/>
          <w:sz w:val="24"/>
          <w:szCs w:val="24"/>
          <w:lang w:val="en-ID"/>
        </w:rPr>
        <w:t>Legislation has provided rules for the rights of victims and witnesses, namely Article 5 of Law Number 31 of 2014 concerning Protection of Witnesses and Victims, and Article 69A of Law Number 35 of 2014 concerning Child Protection. Protection of childre</w:t>
      </w:r>
      <w:r>
        <w:rPr>
          <w:rFonts w:ascii="Book Antiqua" w:hAnsi="Book Antiqua" w:cs="Book Antiqua"/>
          <w:sz w:val="24"/>
          <w:szCs w:val="24"/>
          <w:lang w:val="en-ID"/>
        </w:rPr>
        <w:t>n is also regulated in Law Number 39 of 1999 concerning Human Rights, which in article 58 paragraph 1 states that every child in the care of parents, guardians or any party has the right to receive legal protection from all forms of physical and mental vio</w:t>
      </w:r>
      <w:r>
        <w:rPr>
          <w:rFonts w:ascii="Book Antiqua" w:hAnsi="Book Antiqua" w:cs="Book Antiqua"/>
          <w:sz w:val="24"/>
          <w:szCs w:val="24"/>
          <w:lang w:val="en-ID"/>
        </w:rPr>
        <w:t>lence. , neglect, ill-treatment, and sexual harassment.</w:t>
      </w:r>
      <w:r>
        <w:rPr>
          <w:rStyle w:val="FootnoteAnchor"/>
          <w:rFonts w:ascii="Book Antiqua" w:hAnsi="Book Antiqua" w:cs="Book Antiqua"/>
          <w:sz w:val="24"/>
          <w:szCs w:val="24"/>
          <w:lang w:val="en-ID"/>
        </w:rPr>
        <w:footnoteReference w:id="23"/>
      </w:r>
    </w:p>
    <w:p w:rsidR="00D10D59" w:rsidRDefault="005F61D9">
      <w:pPr>
        <w:tabs>
          <w:tab w:val="left" w:pos="720"/>
        </w:tabs>
        <w:spacing w:line="240" w:lineRule="auto"/>
        <w:jc w:val="both"/>
        <w:rPr>
          <w:rFonts w:ascii="Book Antiqua" w:hAnsi="Book Antiqua" w:cs="Book Antiqua"/>
          <w:sz w:val="24"/>
          <w:szCs w:val="24"/>
          <w:lang w:val="en-ID"/>
        </w:rPr>
      </w:pPr>
      <w:r>
        <w:rPr>
          <w:rFonts w:ascii="Book Antiqua" w:hAnsi="Book Antiqua" w:cs="Book Antiqua"/>
          <w:sz w:val="24"/>
          <w:szCs w:val="24"/>
          <w:lang w:val="en-ID"/>
        </w:rPr>
        <w:t>The obligations and responsibilities of the State and Government in child protection efforts are regulated in Law Number 35 of 2014 amendments to Law Number 23 of 2002 concerning Child Protection, na</w:t>
      </w:r>
      <w:r>
        <w:rPr>
          <w:rFonts w:ascii="Book Antiqua" w:hAnsi="Book Antiqua" w:cs="Book Antiqua"/>
          <w:sz w:val="24"/>
          <w:szCs w:val="24"/>
          <w:lang w:val="en-ID"/>
        </w:rPr>
        <w:t>mely:</w:t>
      </w:r>
      <w:r>
        <w:rPr>
          <w:rStyle w:val="FootnoteAnchor"/>
          <w:rFonts w:ascii="Book Antiqua" w:hAnsi="Book Antiqua" w:cs="Book Antiqua"/>
          <w:sz w:val="24"/>
          <w:szCs w:val="24"/>
          <w:lang w:val="en-ID"/>
        </w:rPr>
        <w:footnoteReference w:id="24"/>
      </w:r>
    </w:p>
    <w:p w:rsidR="00D10D59" w:rsidRDefault="005F61D9">
      <w:pPr>
        <w:pStyle w:val="ListParagraph"/>
        <w:numPr>
          <w:ilvl w:val="7"/>
          <w:numId w:val="3"/>
        </w:numPr>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 xml:space="preserve">Respect and guarantee the human rights of every child without distinction of ethnicity, religion, race, class, gender, ethnicity, culture, and language, legal status of the child, order of birth of the child and physical and/or mental condition </w:t>
      </w:r>
      <w:r>
        <w:rPr>
          <w:rFonts w:ascii="Book Antiqua" w:hAnsi="Book Antiqua" w:cs="Book Antiqua"/>
          <w:sz w:val="24"/>
          <w:szCs w:val="24"/>
          <w:lang w:val="en-ID"/>
        </w:rPr>
        <w:t>(Article 21);</w:t>
      </w:r>
    </w:p>
    <w:p w:rsidR="00D10D59" w:rsidRDefault="005F61D9">
      <w:pPr>
        <w:pStyle w:val="ListParagraph"/>
        <w:numPr>
          <w:ilvl w:val="7"/>
          <w:numId w:val="3"/>
        </w:numPr>
        <w:tabs>
          <w:tab w:val="left" w:pos="720"/>
          <w:tab w:val="left" w:pos="108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Provide support for facilities and infrastructure in the implementation of child protection (Article 22);</w:t>
      </w:r>
    </w:p>
    <w:p w:rsidR="00D10D59" w:rsidRDefault="005F61D9">
      <w:pPr>
        <w:pStyle w:val="ListParagraph"/>
        <w:numPr>
          <w:ilvl w:val="7"/>
          <w:numId w:val="3"/>
        </w:numPr>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lastRenderedPageBreak/>
        <w:t xml:space="preserve">Guarantee the protection, maintenance, welfare of children by taking into account the rights and obligations of parents, guardians or </w:t>
      </w:r>
      <w:r>
        <w:rPr>
          <w:rFonts w:ascii="Book Antiqua" w:hAnsi="Book Antiqua" w:cs="Book Antiqua"/>
          <w:sz w:val="24"/>
          <w:szCs w:val="24"/>
          <w:lang w:val="en-ID"/>
        </w:rPr>
        <w:t>other people who are generally responsible for children and oversee the implementation of child protection (Article 23);</w:t>
      </w:r>
    </w:p>
    <w:p w:rsidR="00D10D59" w:rsidRDefault="005F61D9">
      <w:pPr>
        <w:pStyle w:val="ListParagraph"/>
        <w:numPr>
          <w:ilvl w:val="7"/>
          <w:numId w:val="3"/>
        </w:numPr>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Guarantees children to exercise their right to express opinions according to the child's age and level of intelligence (Article 24)</w:t>
      </w:r>
    </w:p>
    <w:p w:rsidR="00D10D59" w:rsidRDefault="005F61D9">
      <w:pPr>
        <w:pStyle w:val="ListParagraph"/>
        <w:tabs>
          <w:tab w:val="left" w:pos="720"/>
          <w:tab w:val="left" w:pos="1080"/>
        </w:tabs>
        <w:spacing w:after="160" w:line="240" w:lineRule="auto"/>
        <w:ind w:left="0"/>
        <w:jc w:val="both"/>
        <w:rPr>
          <w:rFonts w:ascii="Book Antiqua" w:hAnsi="Book Antiqua" w:cs="Book Antiqua"/>
          <w:sz w:val="24"/>
          <w:szCs w:val="24"/>
          <w:lang w:val="id-ID"/>
        </w:rPr>
      </w:pPr>
      <w:r>
        <w:rPr>
          <w:rFonts w:ascii="Book Antiqua" w:hAnsi="Book Antiqua" w:cs="Book Antiqua"/>
          <w:sz w:val="24"/>
          <w:szCs w:val="24"/>
          <w:lang w:val="id-ID"/>
        </w:rPr>
        <w:t>The</w:t>
      </w:r>
      <w:r>
        <w:rPr>
          <w:rFonts w:ascii="Book Antiqua" w:hAnsi="Book Antiqua" w:cs="Book Antiqua"/>
          <w:sz w:val="24"/>
          <w:szCs w:val="24"/>
          <w:lang w:val="id-ID"/>
        </w:rPr>
        <w:t xml:space="preserve"> above description can provide an understanding that the state has a responsibility to protect every citizen who experiences any form of crime. Every human being has the right to live so that the state has an obligation to provide legal protection. Quoting</w:t>
      </w:r>
      <w:r>
        <w:rPr>
          <w:rFonts w:ascii="Book Antiqua" w:hAnsi="Book Antiqua" w:cs="Book Antiqua"/>
          <w:sz w:val="24"/>
          <w:szCs w:val="24"/>
          <w:lang w:val="id-ID"/>
        </w:rPr>
        <w:t xml:space="preserve"> what was said by Lisnawaty Badu where it was said that the right to life must also be protected by the state, especially the rule of law.</w:t>
      </w:r>
      <w:r>
        <w:rPr>
          <w:rStyle w:val="FootnoteAnchor"/>
          <w:rFonts w:ascii="Book Antiqua" w:hAnsi="Book Antiqua" w:cs="Book Antiqua"/>
          <w:sz w:val="24"/>
          <w:szCs w:val="24"/>
          <w:lang w:val="id-ID" w:eastAsia="en-US"/>
        </w:rPr>
        <w:footnoteReference w:id="25"/>
      </w:r>
      <w:r>
        <w:rPr>
          <w:rFonts w:ascii="Book Antiqua" w:hAnsi="Book Antiqua" w:cs="Book Antiqua"/>
          <w:sz w:val="24"/>
          <w:szCs w:val="24"/>
          <w:lang w:val="id-ID" w:eastAsia="en-US"/>
        </w:rPr>
        <w:t>So that every behavior, action, thought and decision of the government and its people must be based on law. In connec</w:t>
      </w:r>
      <w:r>
        <w:rPr>
          <w:rFonts w:ascii="Book Antiqua" w:hAnsi="Book Antiqua" w:cs="Book Antiqua"/>
          <w:sz w:val="24"/>
          <w:szCs w:val="24"/>
          <w:lang w:val="id-ID" w:eastAsia="en-US"/>
        </w:rPr>
        <w:t>tion with the opinion of Novendri M. Ngilu that Indonesia is the highest agreement of the state-formers, even though it has experienced a constitutional test when the 1945 Constitution was changed to the Constitution of the United States of Indonesia in 19</w:t>
      </w:r>
      <w:r>
        <w:rPr>
          <w:rFonts w:ascii="Book Antiqua" w:hAnsi="Book Antiqua" w:cs="Book Antiqua"/>
          <w:sz w:val="24"/>
          <w:szCs w:val="24"/>
          <w:lang w:val="id-ID" w:eastAsia="en-US"/>
        </w:rPr>
        <w:t>49, however, the recognition of the regions under the auspices of the Indonesian State still recognized.</w:t>
      </w:r>
      <w:r>
        <w:rPr>
          <w:rStyle w:val="FootnoteAnchor"/>
          <w:rFonts w:ascii="Book Antiqua" w:hAnsi="Book Antiqua" w:cs="Book Antiqua"/>
          <w:sz w:val="24"/>
          <w:szCs w:val="24"/>
          <w:lang w:val="id-ID" w:eastAsia="en-US"/>
        </w:rPr>
        <w:footnoteReference w:id="26"/>
      </w:r>
    </w:p>
    <w:p w:rsidR="00D10D59" w:rsidRDefault="005F61D9">
      <w:pPr>
        <w:spacing w:line="240" w:lineRule="auto"/>
        <w:jc w:val="both"/>
        <w:rPr>
          <w:rFonts w:ascii="Book Antiqua" w:hAnsi="Book Antiqua" w:cs="Book Antiqua"/>
          <w:sz w:val="24"/>
          <w:szCs w:val="24"/>
          <w:lang w:val="id-ID"/>
        </w:rPr>
      </w:pPr>
      <w:r>
        <w:rPr>
          <w:rFonts w:ascii="Book Antiqua" w:hAnsi="Book Antiqua" w:cs="Book Antiqua"/>
          <w:sz w:val="24"/>
          <w:szCs w:val="24"/>
          <w:lang w:val="id-ID"/>
        </w:rPr>
        <w:t>The following are some of the legal protections given to child victims as the results of interviews with the Assistant Investigator for the Protection</w:t>
      </w:r>
      <w:r>
        <w:rPr>
          <w:rFonts w:ascii="Book Antiqua" w:hAnsi="Book Antiqua" w:cs="Book Antiqua"/>
          <w:sz w:val="24"/>
          <w:szCs w:val="24"/>
          <w:lang w:val="id-ID"/>
        </w:rPr>
        <w:t xml:space="preserve"> of Women and Children at the Bone Bolango Police, First Brigadier Fingky A. Mantili, SH and First Brigadier Desriyanti Ngoyo, SKM, namely:</w:t>
      </w:r>
      <w:r>
        <w:rPr>
          <w:rStyle w:val="FootnoteAnchor"/>
          <w:rFonts w:ascii="Book Antiqua" w:hAnsi="Book Antiqua" w:cs="Book Antiqua"/>
          <w:sz w:val="24"/>
          <w:szCs w:val="24"/>
          <w:lang w:val="id-ID"/>
        </w:rPr>
        <w:footnoteReference w:id="27"/>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Obtain protection for the security of his personal, family, and property, and be free from threats related to the t</w:t>
      </w:r>
      <w:r>
        <w:rPr>
          <w:rFonts w:ascii="Book Antiqua" w:hAnsi="Book Antiqua" w:cs="Book Antiqua"/>
          <w:sz w:val="24"/>
          <w:szCs w:val="24"/>
          <w:lang w:val="en-ID"/>
        </w:rPr>
        <w:t>estimony he will, is currently giving, or has given.</w:t>
      </w:r>
    </w:p>
    <w:p w:rsidR="00D10D59" w:rsidRDefault="005F61D9">
      <w:pPr>
        <w:pStyle w:val="ListParagraph"/>
        <w:tabs>
          <w:tab w:val="left" w:pos="720"/>
        </w:tabs>
        <w:spacing w:after="160" w:line="240" w:lineRule="auto"/>
        <w:jc w:val="both"/>
      </w:pPr>
      <w:r>
        <w:rPr>
          <w:rFonts w:ascii="Book Antiqua" w:hAnsi="Book Antiqua" w:cs="Book Antiqua"/>
          <w:sz w:val="24"/>
          <w:szCs w:val="24"/>
          <w:lang w:val="en-ID"/>
        </w:rPr>
        <w:t>Based on the results of the author's interview with investigators from the Women and Children Protection section, that in providing protection for personal, family, and property security, as well as bein</w:t>
      </w:r>
      <w:r>
        <w:rPr>
          <w:rFonts w:ascii="Book Antiqua" w:hAnsi="Book Antiqua" w:cs="Book Antiqua"/>
          <w:sz w:val="24"/>
          <w:szCs w:val="24"/>
          <w:lang w:val="en-ID"/>
        </w:rPr>
        <w:t xml:space="preserve">g free from threats related to testimonies that will be, are being, or have been given to child victims, the PPA Unit The Bone Bolango Police have tried to provide protection in the form of assistance to victims of sexual intercourse and their families in </w:t>
      </w:r>
      <w:r>
        <w:rPr>
          <w:rFonts w:ascii="Book Antiqua" w:hAnsi="Book Antiqua" w:cs="Book Antiqua"/>
          <w:sz w:val="24"/>
          <w:szCs w:val="24"/>
          <w:lang w:val="en-ID"/>
        </w:rPr>
        <w:t>order to avoid future threats from both the suspect and from other parties in the ongoing investigation process.</w:t>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Participate in the process of selecting and determining the form of security protection and support.</w:t>
      </w:r>
    </w:p>
    <w:p w:rsidR="00D10D59" w:rsidRDefault="005F61D9">
      <w:pPr>
        <w:pStyle w:val="ListParagraph"/>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lastRenderedPageBreak/>
        <w:t>Investigators of the PPA Polres Bone Bolan</w:t>
      </w:r>
      <w:r>
        <w:rPr>
          <w:rFonts w:ascii="Book Antiqua" w:hAnsi="Book Antiqua" w:cs="Book Antiqua"/>
          <w:sz w:val="24"/>
          <w:szCs w:val="24"/>
          <w:lang w:val="en-ID"/>
        </w:rPr>
        <w:t>go stated that victims of sexual intercourse were given the freedom to determine their own forms of protection and security support for themselves.</w:t>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Give information without pressure</w:t>
      </w:r>
    </w:p>
    <w:p w:rsidR="00D10D59" w:rsidRDefault="005F61D9">
      <w:pPr>
        <w:pStyle w:val="ListParagraph"/>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PPA investigators from the Bone Bolango Police said that during the invest</w:t>
      </w:r>
      <w:r>
        <w:rPr>
          <w:rFonts w:ascii="Book Antiqua" w:hAnsi="Book Antiqua" w:cs="Book Antiqua"/>
          <w:sz w:val="24"/>
          <w:szCs w:val="24"/>
          <w:lang w:val="en-ID"/>
        </w:rPr>
        <w:t>igation process, victims of sexual intercourse gave information without pressure from anyone, to make it easier for investigators to collect evidence.</w:t>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Get a translator</w:t>
      </w:r>
    </w:p>
    <w:p w:rsidR="00D10D59" w:rsidRDefault="005F61D9">
      <w:pPr>
        <w:pStyle w:val="ListParagraph"/>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 xml:space="preserve">PPA investigators stated that the victim also received assistance from a translator for </w:t>
      </w:r>
      <w:r>
        <w:rPr>
          <w:rFonts w:ascii="Book Antiqua" w:hAnsi="Book Antiqua" w:cs="Book Antiqua"/>
          <w:sz w:val="24"/>
          <w:szCs w:val="24"/>
          <w:lang w:val="en-ID"/>
        </w:rPr>
        <w:t>children who had difficulty speaking or were not fluent in speaking or providing information during the investigation process.</w:t>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Free from ensnaring questions</w:t>
      </w:r>
    </w:p>
    <w:p w:rsidR="00D10D59" w:rsidRDefault="005F61D9">
      <w:pPr>
        <w:pStyle w:val="ListParagraph"/>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During the investigation process, the Bone Bolango Police investigator did not ask questions that e</w:t>
      </w:r>
      <w:r>
        <w:rPr>
          <w:rFonts w:ascii="Book Antiqua" w:hAnsi="Book Antiqua" w:cs="Book Antiqua"/>
          <w:sz w:val="24"/>
          <w:szCs w:val="24"/>
          <w:lang w:val="en-ID"/>
        </w:rPr>
        <w:t>nsnared child victims so that they felt safe in giving testimony.</w:t>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Get information about the progress of the case</w:t>
      </w:r>
    </w:p>
    <w:p w:rsidR="00D10D59" w:rsidRDefault="005F61D9">
      <w:pPr>
        <w:pStyle w:val="ListParagraph"/>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The investigator said that the victim could get information about the progress of the case to the investigators of the Women and Children Prote</w:t>
      </w:r>
      <w:r>
        <w:rPr>
          <w:rFonts w:ascii="Book Antiqua" w:hAnsi="Book Antiqua" w:cs="Book Antiqua"/>
          <w:sz w:val="24"/>
          <w:szCs w:val="24"/>
          <w:lang w:val="en-ID"/>
        </w:rPr>
        <w:t>ction Unit of the Bone Bolango Police.</w:t>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Get information about court decisions</w:t>
      </w:r>
    </w:p>
    <w:p w:rsidR="00D10D59" w:rsidRDefault="005F61D9">
      <w:pPr>
        <w:pStyle w:val="ListParagraph"/>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Victims of sexual intercourse can ask the police for information about the court's decision from the Women and Children Protection Unit of the Bone Bolango Police.</w:t>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 xml:space="preserve">Obtaining </w:t>
      </w:r>
      <w:r>
        <w:rPr>
          <w:rFonts w:ascii="Book Antiqua" w:hAnsi="Book Antiqua" w:cs="Book Antiqua"/>
          <w:sz w:val="24"/>
          <w:szCs w:val="24"/>
          <w:lang w:val="en-ID"/>
        </w:rPr>
        <w:t>information in the event that the convict is released</w:t>
      </w:r>
    </w:p>
    <w:p w:rsidR="00D10D59" w:rsidRDefault="005F61D9">
      <w:pPr>
        <w:pStyle w:val="ListParagraph"/>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The police, in this case the investigator of the Women and Children Protection unit, notifies the victim in the event that the convict is released</w:t>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Identity withheld</w:t>
      </w:r>
    </w:p>
    <w:p w:rsidR="00D10D59" w:rsidRDefault="005F61D9">
      <w:pPr>
        <w:pStyle w:val="ListParagraph"/>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Protection of the identity of the vic</w:t>
      </w:r>
      <w:r>
        <w:rPr>
          <w:rFonts w:ascii="Book Antiqua" w:hAnsi="Book Antiqua" w:cs="Book Antiqua"/>
          <w:sz w:val="24"/>
          <w:szCs w:val="24"/>
          <w:lang w:val="en-ID"/>
        </w:rPr>
        <w:t>tim of sexual intercourse is devoted to reducing the trauma experienced by the victim. Saying the identity of the victim and disseminating information about the victim will damage the victim's good name and damage the future of the victim of immorality. Vi</w:t>
      </w:r>
      <w:r>
        <w:rPr>
          <w:rFonts w:ascii="Book Antiqua" w:hAnsi="Book Antiqua" w:cs="Book Antiqua"/>
          <w:sz w:val="24"/>
          <w:szCs w:val="24"/>
          <w:lang w:val="en-ID"/>
        </w:rPr>
        <w:t>ctims of sexual intercourse will experience a loss of privacy and trust.</w:t>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Get legal advice</w:t>
      </w:r>
    </w:p>
    <w:p w:rsidR="00D10D59" w:rsidRDefault="005F61D9">
      <w:pPr>
        <w:pStyle w:val="ListParagraph"/>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PPA investigators always provide legal advice to victims of sexual intercourse from the beginning to the end of the investigation process.</w:t>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Getting Medical Help</w:t>
      </w:r>
    </w:p>
    <w:p w:rsidR="00D10D59" w:rsidRDefault="005F61D9">
      <w:pPr>
        <w:pStyle w:val="ListParagraph"/>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 xml:space="preserve">PPA </w:t>
      </w:r>
      <w:r>
        <w:rPr>
          <w:rFonts w:ascii="Book Antiqua" w:hAnsi="Book Antiqua" w:cs="Book Antiqua"/>
          <w:sz w:val="24"/>
          <w:szCs w:val="24"/>
          <w:lang w:val="en-ID"/>
        </w:rPr>
        <w:t>Assistant Investigator, First Brigadier A. Mantali, SH stated that child victims in the crime of sexual intercourse also receive medical services. Medical services can be in the form of health checks or treatment until the victim recovers and also a writte</w:t>
      </w:r>
      <w:r>
        <w:rPr>
          <w:rFonts w:ascii="Book Antiqua" w:hAnsi="Book Antiqua" w:cs="Book Antiqua"/>
          <w:sz w:val="24"/>
          <w:szCs w:val="24"/>
          <w:lang w:val="en-ID"/>
        </w:rPr>
        <w:t>n report on visum et repertum or a medical certificate that can be used as evidence. This certificate is required if the case of sexual intercourse is legally processed.</w:t>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Getting legal assistance</w:t>
      </w:r>
    </w:p>
    <w:p w:rsidR="00D10D59" w:rsidRDefault="005F61D9">
      <w:pPr>
        <w:pStyle w:val="ListParagraph"/>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lastRenderedPageBreak/>
        <w:t xml:space="preserve">Legal assistance provided can be in the form of advocacy and </w:t>
      </w:r>
      <w:r>
        <w:rPr>
          <w:rFonts w:ascii="Book Antiqua" w:hAnsi="Book Antiqua" w:cs="Book Antiqua"/>
          <w:sz w:val="24"/>
          <w:szCs w:val="24"/>
          <w:lang w:val="en-ID"/>
        </w:rPr>
        <w:t>assistance to victims of sexual intercourse. This assistance is carried out by the government or non-government institutions such as Non-Governmental Organizations (NGOs). Special assistance is provided by accompanying the victim of the crime of sexual int</w:t>
      </w:r>
      <w:r>
        <w:rPr>
          <w:rFonts w:ascii="Book Antiqua" w:hAnsi="Book Antiqua" w:cs="Book Antiqua"/>
          <w:sz w:val="24"/>
          <w:szCs w:val="24"/>
          <w:lang w:val="en-ID"/>
        </w:rPr>
        <w:t>ercourse during the examination at the police, before the trial, during the trial, and after the trial. Assistance is provided so that children do not feel cornered, afraid of being treated unfairly during the legal process.</w:t>
      </w:r>
    </w:p>
    <w:p w:rsidR="00D10D59" w:rsidRDefault="005F61D9">
      <w:pPr>
        <w:pStyle w:val="ListParagraph"/>
        <w:numPr>
          <w:ilvl w:val="0"/>
          <w:numId w:val="2"/>
        </w:numPr>
        <w:tabs>
          <w:tab w:val="left" w:pos="720"/>
        </w:tabs>
        <w:spacing w:after="160" w:line="240" w:lineRule="auto"/>
        <w:jc w:val="both"/>
        <w:rPr>
          <w:rFonts w:ascii="Book Antiqua" w:hAnsi="Book Antiqua" w:cs="Book Antiqua"/>
          <w:sz w:val="24"/>
          <w:szCs w:val="24"/>
          <w:lang w:val="en-ID"/>
        </w:rPr>
      </w:pPr>
      <w:r>
        <w:rPr>
          <w:rFonts w:ascii="Book Antiqua" w:hAnsi="Book Antiqua" w:cs="Book Antiqua"/>
          <w:sz w:val="24"/>
          <w:szCs w:val="24"/>
          <w:lang w:val="en-ID"/>
        </w:rPr>
        <w:t>Get psychological rehabilitatio</w:t>
      </w:r>
      <w:r>
        <w:rPr>
          <w:rFonts w:ascii="Book Antiqua" w:hAnsi="Book Antiqua" w:cs="Book Antiqua"/>
          <w:sz w:val="24"/>
          <w:szCs w:val="24"/>
          <w:lang w:val="en-ID"/>
        </w:rPr>
        <w:t>n assistance</w:t>
      </w:r>
    </w:p>
    <w:p w:rsidR="00D10D59" w:rsidRDefault="005F61D9">
      <w:pPr>
        <w:spacing w:line="240" w:lineRule="auto"/>
        <w:jc w:val="both"/>
      </w:pPr>
      <w:r>
        <w:rPr>
          <w:rFonts w:ascii="Book Antiqua" w:hAnsi="Book Antiqua" w:cs="Book Antiqua"/>
          <w:sz w:val="24"/>
          <w:szCs w:val="24"/>
        </w:rPr>
        <w:t>Some of the stages above are part of victims of violence to get full legal protection, in addition to the child protection law and human rights law that can protect the interests of victims, there is also a regulation that is devoted to protec</w:t>
      </w:r>
      <w:r>
        <w:rPr>
          <w:rFonts w:ascii="Book Antiqua" w:hAnsi="Book Antiqua" w:cs="Book Antiqua"/>
          <w:sz w:val="24"/>
          <w:szCs w:val="24"/>
        </w:rPr>
        <w:t>ting witnesses and victims, namely witness and victim protection institutions and Basically, at all stages, there will be terms and conditions that must be met first, after which you will get protection from any form of crime. Legal protection is given sol</w:t>
      </w:r>
      <w:r>
        <w:rPr>
          <w:rFonts w:ascii="Book Antiqua" w:hAnsi="Book Antiqua" w:cs="Book Antiqua"/>
          <w:sz w:val="24"/>
          <w:szCs w:val="24"/>
        </w:rPr>
        <w:t>ely as a guarantee for victims to get essential justice and of course the legal protection is a form of protection provided by the state to its people who are dealing with legal processes.</w:t>
      </w:r>
      <w:r>
        <w:rPr>
          <w:rStyle w:val="FootnoteAnchor"/>
          <w:rFonts w:ascii="Book Antiqua" w:hAnsi="Book Antiqua" w:cs="Book Antiqua"/>
          <w:sz w:val="24"/>
          <w:szCs w:val="24"/>
          <w:lang w:val="id-ID" w:eastAsia="en-US"/>
        </w:rPr>
        <w:footnoteReference w:id="28"/>
      </w:r>
      <w:r>
        <w:rPr>
          <w:rFonts w:ascii="Book Antiqua" w:hAnsi="Book Antiqua" w:cs="Book Antiqua"/>
          <w:sz w:val="24"/>
          <w:szCs w:val="24"/>
          <w:lang w:eastAsia="en-US"/>
        </w:rPr>
        <w:t xml:space="preserve"> </w:t>
      </w:r>
    </w:p>
    <w:p w:rsidR="00D10D59" w:rsidRDefault="005F61D9">
      <w:pPr>
        <w:spacing w:line="240" w:lineRule="auto"/>
        <w:jc w:val="both"/>
        <w:rPr>
          <w:rFonts w:ascii="Book Antiqua" w:hAnsi="Book Antiqua" w:cs="Book Antiqua"/>
          <w:bCs/>
          <w:sz w:val="24"/>
          <w:szCs w:val="24"/>
          <w:lang w:val="id-ID" w:eastAsia="en-US"/>
        </w:rPr>
      </w:pPr>
      <w:r>
        <w:rPr>
          <w:rFonts w:ascii="Book Antiqua" w:hAnsi="Book Antiqua" w:cs="Book Antiqua"/>
          <w:sz w:val="24"/>
          <w:szCs w:val="24"/>
          <w:lang w:val="id-ID" w:eastAsia="en-US"/>
        </w:rPr>
        <w:t>To quote as said by Fence M. Time in his Journal that the essence</w:t>
      </w:r>
      <w:r>
        <w:rPr>
          <w:rFonts w:ascii="Book Antiqua" w:hAnsi="Book Antiqua" w:cs="Book Antiqua"/>
          <w:sz w:val="24"/>
          <w:szCs w:val="24"/>
          <w:lang w:val="id-ID" w:eastAsia="en-US"/>
        </w:rPr>
        <w:t xml:space="preserve"> of justice is an assessment from one person to another, which is generally seen from the party receiving the treatment only.</w:t>
      </w:r>
      <w:r>
        <w:rPr>
          <w:rStyle w:val="FootnoteAnchor"/>
          <w:rFonts w:ascii="Book Antiqua" w:hAnsi="Book Antiqua" w:cs="Book Antiqua"/>
          <w:bCs/>
          <w:sz w:val="24"/>
          <w:szCs w:val="24"/>
          <w:lang w:val="id-ID" w:eastAsia="en-US"/>
        </w:rPr>
        <w:footnoteReference w:id="29"/>
      </w:r>
      <w:r>
        <w:rPr>
          <w:rFonts w:ascii="Book Antiqua" w:hAnsi="Book Antiqua" w:cs="Book Antiqua"/>
          <w:bCs/>
          <w:sz w:val="24"/>
          <w:szCs w:val="24"/>
          <w:lang w:val="id-ID" w:eastAsia="en-US"/>
        </w:rPr>
        <w:t>Quoting as stated by Suwitno Yutye Imran that Justice serves as a guide to distinguish between fair and unfair actions, elements o</w:t>
      </w:r>
      <w:r>
        <w:rPr>
          <w:rFonts w:ascii="Book Antiqua" w:hAnsi="Book Antiqua" w:cs="Book Antiqua"/>
          <w:bCs/>
          <w:sz w:val="24"/>
          <w:szCs w:val="24"/>
          <w:lang w:val="id-ID" w:eastAsia="en-US"/>
        </w:rPr>
        <w:t>f the aspect of justice can be contained in the substance.</w:t>
      </w:r>
      <w:r>
        <w:rPr>
          <w:rStyle w:val="FootnoteAnchor"/>
          <w:rFonts w:ascii="Book Antiqua" w:hAnsi="Book Antiqua" w:cs="Book Antiqua"/>
          <w:bCs/>
          <w:sz w:val="24"/>
          <w:szCs w:val="24"/>
          <w:lang w:val="id-ID" w:eastAsia="en-US"/>
        </w:rPr>
        <w:footnoteReference w:id="30"/>
      </w:r>
    </w:p>
    <w:p w:rsidR="00D10D59" w:rsidRDefault="005F61D9">
      <w:pPr>
        <w:spacing w:line="240" w:lineRule="auto"/>
        <w:jc w:val="both"/>
        <w:rPr>
          <w:rFonts w:ascii="Book Antiqua" w:hAnsi="Book Antiqua" w:cs="Book Antiqua"/>
          <w:sz w:val="24"/>
          <w:szCs w:val="24"/>
          <w:lang w:val="id-ID"/>
        </w:rPr>
      </w:pPr>
      <w:r>
        <w:rPr>
          <w:rFonts w:ascii="Book Antiqua" w:hAnsi="Book Antiqua" w:cs="Book Antiqua"/>
          <w:sz w:val="24"/>
          <w:szCs w:val="24"/>
          <w:lang w:val="id-ID"/>
        </w:rPr>
        <w:t>Social media is also a factor in the occurrence of criminal acts. Because children who experience crime start from the use of social media. Children can interact with anyone through social media s</w:t>
      </w:r>
      <w:r>
        <w:rPr>
          <w:rFonts w:ascii="Book Antiqua" w:hAnsi="Book Antiqua" w:cs="Book Antiqua"/>
          <w:sz w:val="24"/>
          <w:szCs w:val="24"/>
          <w:lang w:val="id-ID"/>
        </w:rPr>
        <w:t>uch as Facebook, WhatsApp, and Instagram. Minors have a high curiosity to get to know strangers on social media. After getting acquainted on social media, the perpetrator invites to meet and usually ends in crime. Perpetrators of sexual intercourse feel th</w:t>
      </w:r>
      <w:r>
        <w:rPr>
          <w:rFonts w:ascii="Book Antiqua" w:hAnsi="Book Antiqua" w:cs="Book Antiqua"/>
          <w:sz w:val="24"/>
          <w:szCs w:val="24"/>
          <w:lang w:val="id-ID"/>
        </w:rPr>
        <w:t>at children can be one of the targets to channel their sexual desires. This is influenced by the opinion that children are not capable enough to understand that the act is a criminal act or that children do not have the personality to resist the perpetrato</w:t>
      </w:r>
      <w:r>
        <w:rPr>
          <w:rFonts w:ascii="Book Antiqua" w:hAnsi="Book Antiqua" w:cs="Book Antiqua"/>
          <w:sz w:val="24"/>
          <w:szCs w:val="24"/>
          <w:lang w:val="id-ID"/>
        </w:rPr>
        <w:t>r's wishes.</w:t>
      </w:r>
      <w:r>
        <w:rPr>
          <w:rFonts w:ascii="Book Antiqua" w:eastAsia="Times New Roman" w:hAnsi="Book Antiqua" w:cs="Book Antiqua"/>
          <w:sz w:val="24"/>
          <w:szCs w:val="24"/>
          <w:lang w:eastAsia="en-US"/>
        </w:rPr>
        <w:t xml:space="preserve">Basically, in Indonesian state law, especially in the Criminal Procedure Code, the authority of law enforcers to find and examine criminals is limited by </w:t>
      </w:r>
      <w:r>
        <w:rPr>
          <w:rFonts w:ascii="Book Antiqua" w:eastAsia="Times New Roman" w:hAnsi="Book Antiqua" w:cs="Book Antiqua"/>
          <w:sz w:val="24"/>
          <w:szCs w:val="24"/>
          <w:lang w:eastAsia="en-US"/>
        </w:rPr>
        <w:lastRenderedPageBreak/>
        <w:t>the attitude of not arbitrarily arresting, examining and punishing someone without clear ev</w:t>
      </w:r>
      <w:r>
        <w:rPr>
          <w:rFonts w:ascii="Book Antiqua" w:eastAsia="Times New Roman" w:hAnsi="Book Antiqua" w:cs="Book Antiqua"/>
          <w:sz w:val="24"/>
          <w:szCs w:val="24"/>
          <w:lang w:eastAsia="en-US"/>
        </w:rPr>
        <w:t>idence and procedures. A person who is strongly suspected of having committed a criminal act must also be treated like a human being.</w:t>
      </w:r>
      <w:r>
        <w:rPr>
          <w:rStyle w:val="FootnoteAnchor"/>
          <w:rFonts w:ascii="Book Antiqua" w:eastAsia="Times New Roman" w:hAnsi="Book Antiqua" w:cs="Book Antiqua"/>
          <w:sz w:val="24"/>
          <w:szCs w:val="24"/>
          <w:lang w:eastAsia="en-US"/>
        </w:rPr>
        <w:footnoteReference w:id="31"/>
      </w:r>
      <w:r>
        <w:rPr>
          <w:rFonts w:ascii="Book Antiqua" w:eastAsia="Times New Roman" w:hAnsi="Book Antiqua" w:cs="Book Antiqua"/>
          <w:sz w:val="24"/>
          <w:szCs w:val="24"/>
          <w:lang w:val="id-ID" w:eastAsia="en-US"/>
        </w:rPr>
        <w:t xml:space="preserve">Therefore, the important point is to ensure that every competent person in the authorities conducts a prompt and impartial investigation into indications such as acts of torture or serious discrimination that occur in their jurisdiction, especially sexual </w:t>
      </w:r>
      <w:r>
        <w:rPr>
          <w:rFonts w:ascii="Book Antiqua" w:eastAsia="Times New Roman" w:hAnsi="Book Antiqua" w:cs="Book Antiqua"/>
          <w:sz w:val="24"/>
          <w:szCs w:val="24"/>
          <w:lang w:val="id-ID" w:eastAsia="en-US"/>
        </w:rPr>
        <w:t>intercourse.</w:t>
      </w:r>
      <w:r>
        <w:rPr>
          <w:rStyle w:val="FootnoteAnchor"/>
          <w:rFonts w:ascii="Book Antiqua" w:eastAsia="Times New Roman" w:hAnsi="Book Antiqua" w:cs="Book Antiqua"/>
          <w:sz w:val="24"/>
          <w:szCs w:val="24"/>
          <w:lang w:eastAsia="en-US"/>
        </w:rPr>
        <w:footnoteReference w:id="32"/>
      </w:r>
    </w:p>
    <w:p w:rsidR="00D10D59" w:rsidRDefault="005F61D9">
      <w:pPr>
        <w:spacing w:line="240" w:lineRule="auto"/>
        <w:jc w:val="both"/>
        <w:rPr>
          <w:rFonts w:ascii="Book Antiqua" w:hAnsi="Book Antiqua" w:cs="Book Antiqua"/>
          <w:bCs/>
          <w:sz w:val="24"/>
          <w:szCs w:val="24"/>
          <w:lang w:eastAsia="en-US"/>
        </w:rPr>
      </w:pPr>
      <w:r>
        <w:rPr>
          <w:rFonts w:ascii="Book Antiqua" w:hAnsi="Book Antiqua" w:cs="Book Antiqua"/>
          <w:sz w:val="24"/>
          <w:szCs w:val="24"/>
          <w:lang w:val="en-ID"/>
        </w:rPr>
        <w:t>Sexual intercourse with children will certainly have an impact on the psychology of children and will give birth to prolonged trauma which can then give birth to unhealthy attitudes, such as inferiority, excessive fear, disturbed mental devel</w:t>
      </w:r>
      <w:r>
        <w:rPr>
          <w:rFonts w:ascii="Book Antiqua" w:hAnsi="Book Antiqua" w:cs="Book Antiqua"/>
          <w:sz w:val="24"/>
          <w:szCs w:val="24"/>
          <w:lang w:val="en-ID"/>
        </w:rPr>
        <w:t>opment, and ultimately result in mental retardation. This situation may become a bad memory for children who are victims of sexual intercourse.</w:t>
      </w:r>
      <w:r>
        <w:rPr>
          <w:rFonts w:ascii="Book Antiqua" w:eastAsia="Times New Roman" w:hAnsi="Book Antiqua" w:cs="Book Antiqua"/>
          <w:sz w:val="24"/>
          <w:szCs w:val="24"/>
          <w:lang w:val="id-ID" w:eastAsia="en-US"/>
        </w:rPr>
        <w:t>The development of digitalization of information and communication technology in the form of social media exposes</w:t>
      </w:r>
      <w:r>
        <w:rPr>
          <w:rFonts w:ascii="Book Antiqua" w:eastAsia="Times New Roman" w:hAnsi="Book Antiqua" w:cs="Book Antiqua"/>
          <w:sz w:val="24"/>
          <w:szCs w:val="24"/>
          <w:lang w:val="id-ID" w:eastAsia="en-US"/>
        </w:rPr>
        <w:t xml:space="preserve"> the public to a new reality, namely the mortal world that is visible from the screen of the device/gadget but synchronized with real world life.</w:t>
      </w:r>
      <w:r>
        <w:rPr>
          <w:rStyle w:val="FootnoteAnchor"/>
          <w:rFonts w:ascii="Book Antiqua" w:eastAsia="Times New Roman" w:hAnsi="Book Antiqua" w:cs="Book Antiqua"/>
          <w:sz w:val="24"/>
          <w:szCs w:val="24"/>
          <w:lang w:eastAsia="en-US"/>
        </w:rPr>
        <w:footnoteReference w:id="33"/>
      </w:r>
    </w:p>
    <w:p w:rsidR="00D10D59" w:rsidRDefault="005F61D9">
      <w:pPr>
        <w:spacing w:line="240" w:lineRule="auto"/>
        <w:jc w:val="both"/>
        <w:rPr>
          <w:rFonts w:ascii="Book Antiqua" w:hAnsi="Book Antiqua" w:cs="Book Antiqua"/>
          <w:sz w:val="24"/>
          <w:szCs w:val="24"/>
          <w:lang w:val="id-ID"/>
        </w:rPr>
      </w:pPr>
      <w:r>
        <w:rPr>
          <w:rFonts w:ascii="Book Antiqua" w:hAnsi="Book Antiqua" w:cs="Book Antiqua"/>
          <w:sz w:val="24"/>
          <w:szCs w:val="24"/>
          <w:lang w:val="id-ID"/>
        </w:rPr>
        <w:t>PPA Assistant Investigator, First Brigadier A. Mantili, SH stated that legal protection for children who have</w:t>
      </w:r>
      <w:r>
        <w:rPr>
          <w:rFonts w:ascii="Book Antiqua" w:hAnsi="Book Antiqua" w:cs="Book Antiqua"/>
          <w:sz w:val="24"/>
          <w:szCs w:val="24"/>
          <w:lang w:val="id-ID"/>
        </w:rPr>
        <w:t xml:space="preserve"> trauma, namely children will be deposited in LAPAS (Temporary Child Care Institutions). If the child does not have trauma, the child will be returned to the parents, but when carrying out the BAP he is accompanied by the Social Service or P2TP2A (Integrat</w:t>
      </w:r>
      <w:r>
        <w:rPr>
          <w:rFonts w:ascii="Book Antiqua" w:hAnsi="Book Antiqua" w:cs="Book Antiqua"/>
          <w:sz w:val="24"/>
          <w:szCs w:val="24"/>
          <w:lang w:val="id-ID"/>
        </w:rPr>
        <w:t xml:space="preserve">ed Service Center for the Empowerment of Women and Children. Rehabilitation is given to children who are victims of the crime of sexual intercourse through psychological rehabilitation of a child , so that the child is expected to return to the way it was </w:t>
      </w:r>
      <w:r>
        <w:rPr>
          <w:rFonts w:ascii="Book Antiqua" w:hAnsi="Book Antiqua" w:cs="Book Antiqua"/>
          <w:sz w:val="24"/>
          <w:szCs w:val="24"/>
          <w:lang w:val="id-ID"/>
        </w:rPr>
        <w:t>before he became a victim of the crime of sexual intercourse. Providing rehabilitation to victims of sexual intercourse to help the victim to improve the victim's way of thinking and reorganize his disturbed psychology. This condition can be in the form of</w:t>
      </w:r>
      <w:r>
        <w:rPr>
          <w:rFonts w:ascii="Book Antiqua" w:hAnsi="Book Antiqua" w:cs="Book Antiqua"/>
          <w:sz w:val="24"/>
          <w:szCs w:val="24"/>
          <w:lang w:val="id-ID"/>
        </w:rPr>
        <w:t xml:space="preserve"> depression, severe stress,</w:t>
      </w:r>
    </w:p>
    <w:p w:rsidR="00D10D59" w:rsidRDefault="005F61D9">
      <w:pPr>
        <w:pStyle w:val="Default"/>
        <w:spacing w:after="240"/>
        <w:jc w:val="both"/>
        <w:rPr>
          <w:rFonts w:ascii="Book Antiqua" w:eastAsia="Times New Roman" w:hAnsi="Book Antiqua" w:cs="Book Antiqua"/>
          <w:lang w:eastAsia="ko-KR"/>
        </w:rPr>
      </w:pPr>
      <w:r>
        <w:rPr>
          <w:rFonts w:ascii="Book Antiqua" w:hAnsi="Book Antiqua" w:cs="Book Antiqua"/>
          <w:lang w:val="id-ID"/>
        </w:rPr>
        <w:t>Based on this, the author can draw the conclusion that legal protection for children who are victims of sexual intercourse should not only be carried out until the decision is completed but must continue until the child is truly</w:t>
      </w:r>
      <w:r>
        <w:rPr>
          <w:rFonts w:ascii="Book Antiqua" w:hAnsi="Book Antiqua" w:cs="Book Antiqua"/>
          <w:lang w:val="id-ID"/>
        </w:rPr>
        <w:t xml:space="preserve"> worthy of his life and can live and develop healthily in accordance with what must be done. accepted by the child, it is in line with the purpose of victimology which wants to protect victims, especially victims of sexual intercourse, in order to get </w:t>
      </w:r>
      <w:r>
        <w:rPr>
          <w:rFonts w:ascii="Book Antiqua" w:hAnsi="Book Antiqua" w:cs="Book Antiqua"/>
          <w:lang w:val="id-ID"/>
        </w:rPr>
        <w:lastRenderedPageBreak/>
        <w:t>thei</w:t>
      </w:r>
      <w:r>
        <w:rPr>
          <w:rFonts w:ascii="Book Antiqua" w:hAnsi="Book Antiqua" w:cs="Book Antiqua"/>
          <w:lang w:val="id-ID"/>
        </w:rPr>
        <w:t>r rights as victims. So that the victim as the party who suffers physically and spiritually as well as the party who is the most materially harmed can get the rights that should be obtained.</w:t>
      </w:r>
    </w:p>
    <w:p w:rsidR="00D10D59" w:rsidRDefault="005F61D9">
      <w:pPr>
        <w:pStyle w:val="Heading1"/>
        <w:numPr>
          <w:ilvl w:val="0"/>
          <w:numId w:val="4"/>
        </w:numPr>
        <w:spacing w:before="0" w:after="0" w:line="240" w:lineRule="auto"/>
        <w:ind w:left="426" w:hanging="426"/>
        <w:jc w:val="both"/>
        <w:rPr>
          <w:rFonts w:ascii="Book Antiqua" w:eastAsia="Arial Unicode MS" w:hAnsi="Book Antiqua" w:cs="Calibri Light"/>
          <w:b/>
          <w:lang w:val="id-ID" w:eastAsia="en-US"/>
        </w:rPr>
      </w:pPr>
      <w:r>
        <w:rPr>
          <w:rFonts w:ascii="Book Antiqua" w:eastAsia="Arial Unicode MS" w:hAnsi="Book Antiqua" w:cs="Calibri Light"/>
          <w:b/>
          <w:lang w:val="id-ID" w:eastAsia="en-US"/>
        </w:rPr>
        <w:t>Conclusion</w:t>
      </w:r>
    </w:p>
    <w:p w:rsidR="00D10D59" w:rsidRDefault="005F61D9">
      <w:pPr>
        <w:pStyle w:val="Default"/>
        <w:spacing w:after="240"/>
        <w:jc w:val="both"/>
        <w:rPr>
          <w:rFonts w:ascii="Book Antiqua" w:hAnsi="Book Antiqua" w:cs="Book Antiqua"/>
          <w:lang w:val="id-ID"/>
        </w:rPr>
      </w:pPr>
      <w:r>
        <w:rPr>
          <w:rFonts w:ascii="Book Antiqua" w:hAnsi="Book Antiqua" w:cs="Book Antiqua"/>
          <w:lang w:val="id-ID"/>
        </w:rPr>
        <w:t>Legal protection for child victims of the crime of sex</w:t>
      </w:r>
      <w:r>
        <w:rPr>
          <w:rFonts w:ascii="Book Antiqua" w:hAnsi="Book Antiqua" w:cs="Book Antiqua"/>
          <w:lang w:val="id-ID"/>
        </w:rPr>
        <w:t xml:space="preserve">ual intercourse is given with the aim of protecting victims, especially victims of sexual intercourse in order to get their rights as victims by way of children getting health services as an effort to restore the condition of children as victims of sexual </w:t>
      </w:r>
      <w:r>
        <w:rPr>
          <w:rFonts w:ascii="Book Antiqua" w:hAnsi="Book Antiqua" w:cs="Book Antiqua"/>
          <w:lang w:val="id-ID"/>
        </w:rPr>
        <w:t>intercourse, children also get legal protection in terms of legal assistance, rehabilitation, and prevention.</w:t>
      </w:r>
    </w:p>
    <w:p w:rsidR="00D10D59" w:rsidRDefault="005F61D9">
      <w:pPr>
        <w:pStyle w:val="Default"/>
        <w:spacing w:after="240"/>
        <w:jc w:val="both"/>
        <w:rPr>
          <w:rFonts w:ascii="Book Antiqua" w:eastAsia="Times New Roman" w:hAnsi="Book Antiqua" w:cs="Book Antiqua"/>
          <w:lang w:val="id-ID" w:eastAsia="ko-KR"/>
        </w:rPr>
      </w:pPr>
      <w:r>
        <w:rPr>
          <w:rFonts w:ascii="Book Antiqua" w:hAnsi="Book Antiqua" w:cs="Book Antiqua"/>
          <w:lang w:val="id-ID"/>
        </w:rPr>
        <w:t>The need for a fair criminal law settlement for victims of sexual intercourse, which adds or considers the rights of victims of sexual intercourse</w:t>
      </w:r>
      <w:r>
        <w:rPr>
          <w:rFonts w:ascii="Book Antiqua" w:hAnsi="Book Antiqua" w:cs="Book Antiqua"/>
          <w:lang w:val="id-ID"/>
        </w:rPr>
        <w:t xml:space="preserve"> and parents should participate in efforts to provide protection for children by fulfilling children's rights, protecting the best interests of children, and increasing supervision over children. environment and children's play area.</w:t>
      </w:r>
    </w:p>
    <w:p w:rsidR="00D10D59" w:rsidRDefault="00D10D59">
      <w:pPr>
        <w:pStyle w:val="ListParagraph"/>
        <w:spacing w:line="240" w:lineRule="auto"/>
        <w:ind w:left="0"/>
        <w:jc w:val="both"/>
        <w:rPr>
          <w:rFonts w:ascii="Book Antiqua" w:eastAsia="Times New Roman" w:hAnsi="Book Antiqua" w:cs="Calibri Light"/>
          <w:b/>
          <w:bCs/>
          <w:color w:val="000000"/>
          <w:sz w:val="28"/>
          <w:lang w:val="id-ID" w:eastAsia="en-US"/>
        </w:rPr>
      </w:pPr>
    </w:p>
    <w:p w:rsidR="00D10D59" w:rsidRDefault="005F61D9">
      <w:pPr>
        <w:pStyle w:val="ListParagraph"/>
        <w:spacing w:line="240" w:lineRule="auto"/>
        <w:ind w:left="0"/>
        <w:jc w:val="both"/>
        <w:rPr>
          <w:rFonts w:ascii="Book Antiqua" w:hAnsi="Book Antiqua" w:cs="Calibri Light"/>
          <w:b/>
          <w:bCs/>
          <w:sz w:val="28"/>
          <w:lang w:val="id-ID" w:eastAsia="en-US"/>
        </w:rPr>
      </w:pPr>
      <w:r>
        <w:rPr>
          <w:rFonts w:ascii="Book Antiqua" w:hAnsi="Book Antiqua" w:cs="Calibri Light"/>
          <w:b/>
          <w:bCs/>
          <w:sz w:val="28"/>
          <w:lang w:val="id-ID" w:eastAsia="en-US"/>
        </w:rPr>
        <w:t>References</w:t>
      </w:r>
    </w:p>
    <w:p w:rsidR="00D10D59" w:rsidRDefault="005F61D9">
      <w:pPr>
        <w:pStyle w:val="ListParagraph"/>
        <w:spacing w:before="240" w:line="240" w:lineRule="auto"/>
        <w:ind w:left="284"/>
        <w:jc w:val="center"/>
        <w:rPr>
          <w:rFonts w:ascii="Book Antiqua" w:hAnsi="Book Antiqua" w:cs="Book Antiqua"/>
          <w:b/>
          <w:sz w:val="24"/>
          <w:szCs w:val="24"/>
          <w:lang w:val="id-ID" w:eastAsia="en-US"/>
        </w:rPr>
      </w:pPr>
      <w:r>
        <w:rPr>
          <w:rFonts w:ascii="Book Antiqua" w:hAnsi="Book Antiqua" w:cs="Book Antiqua"/>
          <w:b/>
          <w:sz w:val="24"/>
          <w:szCs w:val="24"/>
          <w:lang w:val="id-ID" w:eastAsia="en-US"/>
        </w:rPr>
        <w:t>Book:</w:t>
      </w:r>
    </w:p>
    <w:p w:rsidR="00D10D59" w:rsidRDefault="005F61D9">
      <w:pPr>
        <w:pStyle w:val="FootnoteText"/>
        <w:spacing w:after="240"/>
        <w:ind w:left="709" w:hanging="709"/>
        <w:jc w:val="both"/>
      </w:pPr>
      <w:r>
        <w:rPr>
          <w:rFonts w:ascii="Book Antiqua" w:hAnsi="Book Antiqua" w:cs="Book Antiqua"/>
          <w:sz w:val="24"/>
          <w:szCs w:val="24"/>
          <w:lang w:val="id-ID"/>
        </w:rPr>
        <w:t xml:space="preserve">AS, </w:t>
      </w:r>
      <w:r>
        <w:rPr>
          <w:rFonts w:ascii="Book Antiqua" w:hAnsi="Book Antiqua" w:cs="Book Antiqua"/>
          <w:sz w:val="24"/>
          <w:szCs w:val="24"/>
          <w:lang w:val="id-ID"/>
        </w:rPr>
        <w:t>Alam and Ilyas, Amir. Criminology An Introduction. Jakarta: Prenadamedia Group, 2018.</w:t>
      </w:r>
    </w:p>
    <w:p w:rsidR="00D10D59" w:rsidRDefault="005F61D9">
      <w:pPr>
        <w:pStyle w:val="FootnoteText"/>
        <w:spacing w:after="240"/>
        <w:ind w:left="709" w:hanging="709"/>
        <w:jc w:val="both"/>
      </w:pPr>
      <w:r>
        <w:rPr>
          <w:rFonts w:ascii="Book Antiqua" w:hAnsi="Book Antiqua" w:cs="Book Antiqua"/>
          <w:sz w:val="24"/>
          <w:szCs w:val="24"/>
        </w:rPr>
        <w:t>Arief Mansur, DM, &amp; Gultom, E. The Urgency of Crime Victim Protection. Jakarta : PT RajaGrafindo Persada, 2007.</w:t>
      </w:r>
    </w:p>
    <w:p w:rsidR="00D10D59" w:rsidRDefault="005F61D9">
      <w:pPr>
        <w:pStyle w:val="FootnoteText"/>
        <w:spacing w:after="240"/>
        <w:ind w:left="709" w:hanging="709"/>
        <w:jc w:val="both"/>
      </w:pPr>
      <w:r>
        <w:rPr>
          <w:rFonts w:ascii="Book Antiqua" w:hAnsi="Book Antiqua" w:cs="Book Antiqua"/>
          <w:sz w:val="24"/>
          <w:szCs w:val="24"/>
        </w:rPr>
        <w:t>CST, Kansil. Introduction to Indonesian Law and Legal Admi</w:t>
      </w:r>
      <w:r>
        <w:rPr>
          <w:rFonts w:ascii="Book Antiqua" w:hAnsi="Book Antiqua" w:cs="Book Antiqua"/>
          <w:sz w:val="24"/>
          <w:szCs w:val="24"/>
        </w:rPr>
        <w:t>nistration. Jakarta: Balai Pustaka, 1989.</w:t>
      </w:r>
    </w:p>
    <w:p w:rsidR="00D10D59" w:rsidRDefault="005F61D9">
      <w:pPr>
        <w:pStyle w:val="FootnoteText"/>
        <w:spacing w:after="200"/>
        <w:ind w:left="1134" w:hanging="1134"/>
        <w:jc w:val="both"/>
      </w:pPr>
      <w:r>
        <w:rPr>
          <w:rFonts w:ascii="Book Antiqua" w:hAnsi="Book Antiqua" w:cs="Book Antiqua"/>
          <w:sz w:val="24"/>
          <w:szCs w:val="24"/>
          <w:lang w:val="id-ID" w:eastAsia="en-US"/>
        </w:rPr>
        <w:t>Fajar, Mukti &amp; Achmad, Yulianto, Dualism in Legal Research (Normative and Empirical), Yogyakarta: Pustaka Pelajar, 2010</w:t>
      </w:r>
    </w:p>
    <w:p w:rsidR="00D10D59" w:rsidRDefault="005F61D9">
      <w:pPr>
        <w:pStyle w:val="FootnoteText"/>
        <w:spacing w:after="240"/>
        <w:ind w:left="709" w:hanging="709"/>
        <w:jc w:val="both"/>
        <w:rPr>
          <w:rFonts w:ascii="Book Antiqua" w:hAnsi="Book Antiqua" w:cs="Book Antiqua"/>
          <w:sz w:val="24"/>
          <w:szCs w:val="24"/>
          <w:lang w:val="id-ID"/>
        </w:rPr>
      </w:pPr>
      <w:r>
        <w:rPr>
          <w:rFonts w:ascii="Book Antiqua" w:hAnsi="Book Antiqua" w:cs="Book Antiqua"/>
          <w:sz w:val="24"/>
          <w:szCs w:val="24"/>
        </w:rPr>
        <w:t>Nashriana. Criminal Law Protection for Children in Indonesia. Jakarta: PT RajaGrafindo Persada</w:t>
      </w:r>
      <w:r>
        <w:rPr>
          <w:rFonts w:ascii="Book Antiqua" w:hAnsi="Book Antiqua" w:cs="Book Antiqua"/>
          <w:sz w:val="24"/>
          <w:szCs w:val="24"/>
        </w:rPr>
        <w:t>, 2012</w:t>
      </w:r>
    </w:p>
    <w:p w:rsidR="00D10D59" w:rsidRDefault="005F61D9">
      <w:pPr>
        <w:pStyle w:val="FootnoteText"/>
        <w:spacing w:after="240"/>
        <w:ind w:left="709" w:hanging="709"/>
        <w:jc w:val="both"/>
      </w:pPr>
      <w:r>
        <w:rPr>
          <w:rFonts w:ascii="Book Antiqua" w:hAnsi="Book Antiqua" w:cs="Book Antiqua"/>
          <w:sz w:val="24"/>
          <w:szCs w:val="24"/>
        </w:rPr>
        <w:t>Prodjodikoro, Wirjono. Certain Crimes in Indonesia. Jakarta : PT Reflika Aditama, 2002</w:t>
      </w:r>
    </w:p>
    <w:p w:rsidR="00D10D59" w:rsidRDefault="005F61D9">
      <w:pPr>
        <w:pStyle w:val="FootnoteText"/>
        <w:spacing w:after="240"/>
        <w:ind w:left="709" w:hanging="709"/>
        <w:jc w:val="both"/>
      </w:pPr>
      <w:r>
        <w:rPr>
          <w:rFonts w:ascii="Book Antiqua" w:hAnsi="Book Antiqua" w:cs="Book Antiqua"/>
          <w:sz w:val="24"/>
          <w:szCs w:val="24"/>
        </w:rPr>
        <w:t>Soekanto, Soerjono. Introduction to Legal Research. Jakarta: UI- Press, 2010</w:t>
      </w:r>
    </w:p>
    <w:p w:rsidR="00D10D59" w:rsidRDefault="005F61D9">
      <w:pPr>
        <w:pStyle w:val="FootnoteText"/>
        <w:spacing w:after="240"/>
        <w:ind w:left="709" w:hanging="709"/>
        <w:jc w:val="both"/>
      </w:pPr>
      <w:r>
        <w:rPr>
          <w:rFonts w:ascii="Book Antiqua" w:hAnsi="Book Antiqua" w:cs="Book Antiqua"/>
          <w:sz w:val="24"/>
          <w:szCs w:val="24"/>
          <w:lang w:val="id-ID"/>
        </w:rPr>
        <w:t>Wahid, Abdul and Irfan, Muhammad. Protection of Victims of Sexual Violence Advocacy on Women's Human Rights. Bandung: PT Rafika Aditama, 2011.</w:t>
      </w:r>
    </w:p>
    <w:p w:rsidR="00D10D59" w:rsidRDefault="005F61D9">
      <w:pPr>
        <w:pStyle w:val="FootnoteText"/>
        <w:spacing w:after="240"/>
        <w:ind w:left="709" w:hanging="709"/>
        <w:jc w:val="both"/>
        <w:rPr>
          <w:rFonts w:ascii="Book Antiqua" w:hAnsi="Book Antiqua" w:cs="Book Antiqua"/>
          <w:sz w:val="24"/>
          <w:szCs w:val="24"/>
          <w:lang w:val="id-ID"/>
        </w:rPr>
      </w:pPr>
      <w:r>
        <w:rPr>
          <w:rFonts w:ascii="Book Antiqua" w:hAnsi="Book Antiqua" w:cs="Book Antiqua"/>
          <w:sz w:val="24"/>
          <w:szCs w:val="24"/>
          <w:lang w:val="id-ID" w:eastAsia="en-US"/>
        </w:rPr>
        <w:lastRenderedPageBreak/>
        <w:t>Wantu, Fence M. Criminal Procedure Law. Yogyakarta: Reviva Scholar, 2011</w:t>
      </w:r>
    </w:p>
    <w:p w:rsidR="00D10D59" w:rsidRDefault="005F61D9">
      <w:pPr>
        <w:pStyle w:val="ListParagraph"/>
        <w:spacing w:before="240" w:line="240" w:lineRule="auto"/>
        <w:ind w:left="284"/>
        <w:jc w:val="center"/>
      </w:pPr>
      <w:r>
        <w:rPr>
          <w:rFonts w:ascii="Book Antiqua" w:hAnsi="Book Antiqua" w:cs="Book Antiqua"/>
          <w:b/>
          <w:sz w:val="24"/>
          <w:szCs w:val="24"/>
          <w:lang w:val="id-ID" w:eastAsia="en-US"/>
        </w:rPr>
        <w:t>Journal:</w:t>
      </w:r>
    </w:p>
    <w:p w:rsidR="00D10D59" w:rsidRDefault="005F61D9">
      <w:pPr>
        <w:pStyle w:val="FootnoteText"/>
        <w:spacing w:after="200"/>
        <w:ind w:left="1134" w:hanging="1134"/>
        <w:jc w:val="both"/>
        <w:rPr>
          <w:rFonts w:ascii="Book Antiqua" w:hAnsi="Book Antiqua" w:cs="Book Antiqua"/>
          <w:sz w:val="24"/>
          <w:szCs w:val="24"/>
          <w:lang w:val="id-ID" w:eastAsia="en-US"/>
        </w:rPr>
      </w:pPr>
      <w:r>
        <w:rPr>
          <w:rFonts w:ascii="Book Antiqua" w:hAnsi="Book Antiqua" w:cs="Book Antiqua"/>
          <w:sz w:val="24"/>
          <w:szCs w:val="24"/>
        </w:rPr>
        <w:t>Achir, Nuvazria, and Sri Nanang</w:t>
      </w:r>
      <w:r>
        <w:rPr>
          <w:rFonts w:ascii="Book Antiqua" w:hAnsi="Book Antiqua" w:cs="Book Antiqua"/>
          <w:sz w:val="24"/>
          <w:szCs w:val="24"/>
        </w:rPr>
        <w:t xml:space="preserve"> Meiske Kamba. The function of sharia-based Regional Regulations on Education and Social Services in the Regions. Jambura Law Review. 3 Special Issue (2021), 1-17</w:t>
      </w:r>
    </w:p>
    <w:p w:rsidR="00D10D59" w:rsidRDefault="005F61D9">
      <w:pPr>
        <w:pStyle w:val="FootnoteText"/>
        <w:spacing w:after="240"/>
        <w:ind w:left="709" w:hanging="709"/>
        <w:jc w:val="both"/>
      </w:pPr>
      <w:r>
        <w:rPr>
          <w:rFonts w:ascii="Book Antiqua" w:hAnsi="Book Antiqua" w:cs="Book Antiqua"/>
          <w:sz w:val="24"/>
          <w:szCs w:val="24"/>
        </w:rPr>
        <w:t>Ahir, Nuvazria. Fulfillment Of The Constitutional Rights Of Abandoned Children Victims Of Eco</w:t>
      </w:r>
      <w:r>
        <w:rPr>
          <w:rFonts w:ascii="Book Antiqua" w:hAnsi="Book Antiqua" w:cs="Book Antiqua"/>
          <w:sz w:val="24"/>
          <w:szCs w:val="24"/>
        </w:rPr>
        <w:t>nomic Exploitation”.Jurnal Jambura Law Review. 4 No. 1 (2022), 160-175</w:t>
      </w:r>
    </w:p>
    <w:p w:rsidR="00D10D59" w:rsidRDefault="005F61D9">
      <w:pPr>
        <w:spacing w:after="240" w:line="240" w:lineRule="auto"/>
        <w:ind w:left="993" w:hanging="993"/>
        <w:jc w:val="both"/>
        <w:rPr>
          <w:rFonts w:ascii="Book Antiqua" w:hAnsi="Book Antiqua" w:cs="Book Antiqua"/>
          <w:sz w:val="24"/>
          <w:szCs w:val="24"/>
        </w:rPr>
      </w:pPr>
      <w:r>
        <w:rPr>
          <w:rFonts w:ascii="Book Antiqua" w:eastAsia="Times New Roman" w:hAnsi="Book Antiqua" w:cs="Book Antiqua"/>
          <w:color w:val="000000"/>
          <w:sz w:val="24"/>
          <w:szCs w:val="24"/>
          <w:lang w:eastAsia="id-ID"/>
        </w:rPr>
        <w:t>Alhasni, Mohamad Rizky., Badu, Lisnawaty W., &amp; Nggilu, Novendri M. Assessing the Role of the Police in Preventing the Crime of Obscenity Against Minors. Legality Journal. 12 No. 2 (2019</w:t>
      </w:r>
      <w:r>
        <w:rPr>
          <w:rFonts w:ascii="Book Antiqua" w:eastAsia="Times New Roman" w:hAnsi="Book Antiqua" w:cs="Book Antiqua"/>
          <w:color w:val="000000"/>
          <w:sz w:val="24"/>
          <w:szCs w:val="24"/>
          <w:lang w:eastAsia="id-ID"/>
        </w:rPr>
        <w:t>), 110-123</w:t>
      </w:r>
    </w:p>
    <w:p w:rsidR="00D10D59" w:rsidRDefault="005F61D9">
      <w:pPr>
        <w:pStyle w:val="FootnoteText"/>
        <w:spacing w:after="200"/>
        <w:ind w:left="1134" w:hanging="1134"/>
        <w:jc w:val="both"/>
      </w:pPr>
      <w:r>
        <w:rPr>
          <w:rFonts w:ascii="Book Antiqua" w:hAnsi="Book Antiqua" w:cs="Book Antiqua"/>
          <w:sz w:val="24"/>
          <w:szCs w:val="24"/>
          <w:lang w:val="id-ID" w:eastAsia="en-US"/>
        </w:rPr>
        <w:t>Daffodil, Dolot Alhasni. Determination of Legal Protection for Neighboring Right Holders. Journal of Law Review. 2 No. 1 (2020), 65-82.</w:t>
      </w:r>
    </w:p>
    <w:p w:rsidR="00D10D59" w:rsidRDefault="005F61D9">
      <w:pPr>
        <w:pStyle w:val="FootnoteText"/>
        <w:spacing w:after="240"/>
        <w:ind w:left="709" w:hanging="709"/>
        <w:jc w:val="both"/>
        <w:rPr>
          <w:rFonts w:ascii="Book Antiqua" w:hAnsi="Book Antiqua" w:cs="Book Antiqua"/>
          <w:sz w:val="24"/>
          <w:szCs w:val="24"/>
          <w:lang w:val="id-ID"/>
        </w:rPr>
      </w:pPr>
      <w:r>
        <w:rPr>
          <w:rFonts w:ascii="Book Antiqua" w:hAnsi="Book Antiqua" w:cs="Book Antiqua"/>
          <w:sz w:val="24"/>
          <w:szCs w:val="24"/>
        </w:rPr>
        <w:t>Ekaningtyas, Ni Luh Drajati.</w:t>
      </w:r>
      <w:r>
        <w:rPr>
          <w:rFonts w:ascii="Book Antiqua" w:hAnsi="Book Antiqua" w:cs="Book Antiqua"/>
          <w:color w:val="222222"/>
          <w:sz w:val="24"/>
          <w:szCs w:val="24"/>
          <w:shd w:val="clear" w:color="auto" w:fill="FFFFFF"/>
        </w:rPr>
        <w:t>Psychology of Communication and Sexual Violence in Early Childhood. Pratama Widya</w:t>
      </w:r>
      <w:r>
        <w:rPr>
          <w:rFonts w:ascii="Book Antiqua" w:hAnsi="Book Antiqua" w:cs="Book Antiqua"/>
          <w:color w:val="222222"/>
          <w:sz w:val="24"/>
          <w:szCs w:val="24"/>
          <w:shd w:val="clear" w:color="auto" w:fill="FFFFFF"/>
        </w:rPr>
        <w:t>: Journal of Early Childhood Education. 5 No. 2 (2020), 147-158</w:t>
      </w:r>
    </w:p>
    <w:p w:rsidR="00D10D59" w:rsidRDefault="005F61D9">
      <w:pPr>
        <w:spacing w:line="240" w:lineRule="auto"/>
        <w:ind w:left="1134" w:hanging="1134"/>
        <w:jc w:val="both"/>
      </w:pPr>
      <w:r>
        <w:rPr>
          <w:rFonts w:ascii="Book Antiqua" w:hAnsi="Book Antiqua" w:cs="Book Antiqua"/>
          <w:sz w:val="24"/>
          <w:szCs w:val="24"/>
          <w:lang w:val="id-ID" w:eastAsia="en-US"/>
        </w:rPr>
        <w:t>Imran, Suwitno Y. The Urgency of Regulation of the Ultra Qui Judicat Principle in Criminal Judgments. Journal of Law Review. 3 No. 2 (2021), 395-410</w:t>
      </w:r>
    </w:p>
    <w:p w:rsidR="00D10D59" w:rsidRDefault="005F61D9">
      <w:pPr>
        <w:spacing w:line="240" w:lineRule="auto"/>
        <w:ind w:left="1134" w:hanging="1134"/>
        <w:jc w:val="both"/>
      </w:pPr>
      <w:r>
        <w:rPr>
          <w:rFonts w:ascii="Book Antiqua" w:hAnsi="Book Antiqua" w:cs="Book Antiqua"/>
          <w:sz w:val="24"/>
          <w:szCs w:val="24"/>
          <w:lang w:val="id-ID" w:eastAsia="en-US"/>
        </w:rPr>
        <w:t>Ismail, Dian Ekawaty., &amp; Sarson, Mohamad Taufiq Zulfikar. (2021). Criminology Analysis of Women's as Perpetrators of Domestic Violence Crimes. Journal of Law Review. 3(3), 57-76</w:t>
      </w:r>
    </w:p>
    <w:p w:rsidR="00D10D59" w:rsidRDefault="005F61D9">
      <w:pPr>
        <w:spacing w:line="240" w:lineRule="auto"/>
        <w:ind w:left="1134" w:hanging="1134"/>
        <w:jc w:val="both"/>
        <w:rPr>
          <w:rFonts w:ascii="Book Antiqua" w:hAnsi="Book Antiqua" w:cs="Book Antiqua"/>
          <w:sz w:val="24"/>
          <w:szCs w:val="24"/>
          <w:lang w:val="id-ID" w:eastAsia="en-US"/>
        </w:rPr>
      </w:pPr>
      <w:r>
        <w:rPr>
          <w:rFonts w:ascii="Book Antiqua" w:eastAsia="Times New Roman" w:hAnsi="Book Antiqua" w:cs="Book Antiqua"/>
          <w:color w:val="000000"/>
          <w:sz w:val="24"/>
          <w:szCs w:val="24"/>
          <w:lang w:eastAsia="id-ID"/>
        </w:rPr>
        <w:t>Ismail, Dian Ekawaty., &amp; Tamu, Yowan. Efforts to Protect the Rights of Suspect</w:t>
      </w:r>
      <w:r>
        <w:rPr>
          <w:rFonts w:ascii="Book Antiqua" w:eastAsia="Times New Roman" w:hAnsi="Book Antiqua" w:cs="Book Antiqua"/>
          <w:color w:val="000000"/>
          <w:sz w:val="24"/>
          <w:szCs w:val="24"/>
          <w:lang w:eastAsia="id-ID"/>
        </w:rPr>
        <w:t>s/Defendants Through Pretrial Mechanisms in Gorontalo City. Journal of the Legal Pulpit. 21 No. 1 (2009), 81-92</w:t>
      </w:r>
    </w:p>
    <w:p w:rsidR="00D10D59" w:rsidRDefault="005F61D9">
      <w:pPr>
        <w:spacing w:line="240" w:lineRule="auto"/>
        <w:ind w:left="1134" w:hanging="1134"/>
        <w:jc w:val="both"/>
      </w:pPr>
      <w:r>
        <w:rPr>
          <w:rFonts w:ascii="Book Antiqua" w:hAnsi="Book Antiqua" w:cs="Book Antiqua"/>
          <w:sz w:val="24"/>
          <w:szCs w:val="24"/>
        </w:rPr>
        <w:t>Kendi, John. Criminal Policy in the Indonesian Law State: Efforts to Welfare the Community (Social Welfare). Journal of Islamic Government and P</w:t>
      </w:r>
      <w:r>
        <w:rPr>
          <w:rFonts w:ascii="Book Antiqua" w:hAnsi="Book Antiqua" w:cs="Book Antiqua"/>
          <w:sz w:val="24"/>
          <w:szCs w:val="24"/>
        </w:rPr>
        <w:t>olitics. 2 No. 1 (2017), 15-26</w:t>
      </w:r>
    </w:p>
    <w:p w:rsidR="00D10D59" w:rsidRDefault="005F61D9">
      <w:pPr>
        <w:spacing w:after="240" w:line="240" w:lineRule="auto"/>
        <w:ind w:left="993" w:hanging="993"/>
        <w:jc w:val="both"/>
      </w:pPr>
      <w:r>
        <w:rPr>
          <w:rFonts w:ascii="Book Antiqua" w:hAnsi="Book Antiqua" w:cs="Book Antiqua"/>
          <w:sz w:val="24"/>
          <w:szCs w:val="24"/>
        </w:rPr>
        <w:t>Lakoro, Aniza; Badu, Lisnawaty; Ahir, Nuvazria. Weak Police in Handling Crimes of Online Togel Gambling. Legality Journal. 13 No. 1 (2020), 31-50.</w:t>
      </w:r>
    </w:p>
    <w:p w:rsidR="00D10D59" w:rsidRDefault="005F61D9">
      <w:pPr>
        <w:spacing w:line="240" w:lineRule="auto"/>
        <w:ind w:left="1134" w:hanging="1134"/>
        <w:jc w:val="both"/>
      </w:pPr>
      <w:r>
        <w:rPr>
          <w:rFonts w:ascii="Book Antiqua" w:hAnsi="Book Antiqua" w:cs="Book Antiqua"/>
          <w:sz w:val="24"/>
          <w:szCs w:val="24"/>
          <w:lang w:val="id-ID" w:eastAsia="en-US"/>
        </w:rPr>
        <w:t>Nggilu, Novendri M. Juridical Review of Criminal Sanction Arrangements in Goro</w:t>
      </w:r>
      <w:r>
        <w:rPr>
          <w:rFonts w:ascii="Book Antiqua" w:hAnsi="Book Antiqua" w:cs="Book Antiqua"/>
          <w:sz w:val="24"/>
          <w:szCs w:val="24"/>
          <w:lang w:val="id-ID" w:eastAsia="en-US"/>
        </w:rPr>
        <w:t>ntalo Provincial Regulations. Lambung Mangkurat Law Journal. 5 No. 2, (2020), 109-121.</w:t>
      </w:r>
    </w:p>
    <w:p w:rsidR="00D10D59" w:rsidRDefault="005F61D9">
      <w:pPr>
        <w:pStyle w:val="FootnoteText"/>
        <w:spacing w:after="200"/>
        <w:ind w:left="1134" w:hanging="1134"/>
        <w:jc w:val="both"/>
      </w:pPr>
      <w:r>
        <w:rPr>
          <w:rFonts w:ascii="Book Antiqua" w:hAnsi="Book Antiqua" w:cs="Book Antiqua"/>
          <w:sz w:val="24"/>
          <w:szCs w:val="24"/>
          <w:lang w:val="id-ID" w:eastAsia="en-US"/>
        </w:rPr>
        <w:lastRenderedPageBreak/>
        <w:t>Puluhulawa, Fenty., Tujow, Lusiana M., &amp; Sutrisno. Application of the Principles of Justice, Legal Certainty and Benefit in Judge's Decisions. Gorontalo Law Review Journ</w:t>
      </w:r>
      <w:r>
        <w:rPr>
          <w:rFonts w:ascii="Book Antiqua" w:hAnsi="Book Antiqua" w:cs="Book Antiqua"/>
          <w:sz w:val="24"/>
          <w:szCs w:val="24"/>
          <w:lang w:val="id-ID" w:eastAsia="en-US"/>
        </w:rPr>
        <w:t>al. 3 No. 2, (2020), 168-187.</w:t>
      </w:r>
    </w:p>
    <w:p w:rsidR="00D10D59" w:rsidRDefault="005F61D9">
      <w:pPr>
        <w:spacing w:line="240" w:lineRule="auto"/>
        <w:ind w:left="1134" w:hanging="1134"/>
        <w:jc w:val="both"/>
      </w:pPr>
      <w:r>
        <w:rPr>
          <w:rFonts w:ascii="Book Antiqua" w:hAnsi="Book Antiqua" w:cs="Book Antiqua"/>
          <w:sz w:val="24"/>
          <w:szCs w:val="24"/>
          <w:lang w:val="id-ID" w:eastAsia="en-US"/>
        </w:rPr>
        <w:t>Puluhulawa, Jufryanto., Towadi, Mellisa., &amp; Swarianata, Vifi. Leato/Japanese Cargo Wreck Underwater Site Legal Protection. Journal of Legal Reform, 24 No. 2, (2020), 189-208</w:t>
      </w:r>
    </w:p>
    <w:p w:rsidR="00D10D59" w:rsidRDefault="005F61D9">
      <w:pPr>
        <w:pStyle w:val="FootnoteText"/>
        <w:spacing w:after="240"/>
        <w:ind w:left="993" w:hanging="993"/>
        <w:jc w:val="both"/>
      </w:pPr>
      <w:r>
        <w:rPr>
          <w:rFonts w:ascii="Book Antiqua" w:hAnsi="Book Antiqua" w:cs="Arial"/>
          <w:color w:val="222222"/>
          <w:sz w:val="24"/>
          <w:szCs w:val="24"/>
          <w:shd w:val="clear" w:color="auto" w:fill="FFFFFF"/>
        </w:rPr>
        <w:t>Puluhulawa, MRU, &amp; Husain, R. Body Shaming Through S</w:t>
      </w:r>
      <w:r>
        <w:rPr>
          <w:rFonts w:ascii="Book Antiqua" w:hAnsi="Book Antiqua" w:cs="Arial"/>
          <w:color w:val="222222"/>
          <w:sz w:val="24"/>
          <w:szCs w:val="24"/>
          <w:shd w:val="clear" w:color="auto" w:fill="FFFFFF"/>
        </w:rPr>
        <w:t>ocial Media As a Digital Crime In The Era of Disruption. Jambura Law Review, 3</w:t>
      </w:r>
      <w:r>
        <w:rPr>
          <w:rFonts w:ascii="Book Antiqua" w:hAnsi="Book Antiqua" w:cs="Book Antiqua"/>
          <w:color w:val="222222"/>
          <w:sz w:val="24"/>
          <w:szCs w:val="24"/>
          <w:shd w:val="clear" w:color="auto" w:fill="FFFFFF"/>
        </w:rPr>
        <w:t>No. 1 (2021), 112-123.</w:t>
      </w:r>
    </w:p>
    <w:p w:rsidR="00D10D59" w:rsidRDefault="005F61D9">
      <w:pPr>
        <w:pStyle w:val="FootnoteText"/>
        <w:spacing w:after="240"/>
        <w:ind w:left="993" w:hanging="993"/>
        <w:jc w:val="both"/>
        <w:rPr>
          <w:rFonts w:ascii="Book Antiqua" w:hAnsi="Book Antiqua" w:cs="Book Antiqua"/>
          <w:sz w:val="24"/>
          <w:szCs w:val="24"/>
        </w:rPr>
      </w:pPr>
      <w:r>
        <w:rPr>
          <w:rFonts w:ascii="Book Antiqua" w:hAnsi="Book Antiqua" w:cs="Book Antiqua"/>
          <w:sz w:val="24"/>
          <w:szCs w:val="24"/>
        </w:rPr>
        <w:t>Santiago, Faisal. Law Enforcement of Corruption Crimes by Law Enforcers for the Creation of Legal Order. Pagaruyung Law Journal. 1 No.1 (2017), 23-43</w:t>
      </w:r>
    </w:p>
    <w:p w:rsidR="00D10D59" w:rsidRDefault="005F61D9">
      <w:pPr>
        <w:spacing w:line="240" w:lineRule="auto"/>
        <w:ind w:left="1134" w:hanging="1134"/>
        <w:jc w:val="both"/>
      </w:pPr>
      <w:r>
        <w:rPr>
          <w:rFonts w:ascii="Book Antiqua" w:hAnsi="Book Antiqua" w:cs="Book Antiqua"/>
          <w:sz w:val="24"/>
          <w:szCs w:val="24"/>
          <w:lang w:val="id-ID" w:eastAsia="en-US"/>
        </w:rPr>
        <w:t>Tijow, Luciana. Protection of Human Rights to the Right to Life of Children in the womb outside of a legal marriage. Legality Journal. 3 No. 2 (2010)</w:t>
      </w:r>
    </w:p>
    <w:p w:rsidR="00D10D59" w:rsidRDefault="005F61D9">
      <w:pPr>
        <w:pStyle w:val="FootnoteText"/>
        <w:spacing w:after="240"/>
        <w:ind w:left="993" w:hanging="993"/>
        <w:jc w:val="both"/>
        <w:rPr>
          <w:rFonts w:ascii="Book Antiqua" w:hAnsi="Book Antiqua" w:cs="Book Antiqua"/>
          <w:sz w:val="24"/>
          <w:szCs w:val="24"/>
        </w:rPr>
      </w:pPr>
      <w:r>
        <w:rPr>
          <w:rFonts w:ascii="Book Antiqua" w:hAnsi="Book Antiqua" w:cs="Book Antiqua"/>
          <w:color w:val="222222"/>
          <w:sz w:val="24"/>
          <w:szCs w:val="24"/>
          <w:shd w:val="clear" w:color="auto" w:fill="FFFFFF"/>
        </w:rPr>
        <w:t>Towadi, M., Kasim, NM, Rumawi, R., &amp; Tahir, SA An Indication of China's Policy towards Uighurs and its Imp</w:t>
      </w:r>
      <w:r>
        <w:rPr>
          <w:rFonts w:ascii="Book Antiqua" w:hAnsi="Book Antiqua" w:cs="Book Antiqua"/>
          <w:color w:val="222222"/>
          <w:sz w:val="24"/>
          <w:szCs w:val="24"/>
          <w:shd w:val="clear" w:color="auto" w:fill="FFFFFF"/>
        </w:rPr>
        <w:t>lications by International Law Aspects. Jambura Law Review. 3 No. 1 (2021). 55-71</w:t>
      </w:r>
    </w:p>
    <w:p w:rsidR="00D10D59" w:rsidRDefault="005F61D9">
      <w:pPr>
        <w:pStyle w:val="FootnoteText"/>
        <w:spacing w:after="200"/>
        <w:ind w:left="1134" w:hanging="1134"/>
        <w:jc w:val="both"/>
        <w:rPr>
          <w:rFonts w:ascii="Book Antiqua" w:hAnsi="Book Antiqua" w:cs="Book Antiqua"/>
          <w:sz w:val="24"/>
          <w:szCs w:val="24"/>
          <w:lang w:val="id-ID" w:eastAsia="en-US"/>
        </w:rPr>
      </w:pPr>
      <w:r>
        <w:rPr>
          <w:rFonts w:ascii="Book Antiqua" w:hAnsi="Book Antiqua" w:cs="Book Antiqua"/>
          <w:sz w:val="24"/>
          <w:szCs w:val="24"/>
          <w:lang w:val="id-ID" w:eastAsia="en-US"/>
        </w:rPr>
        <w:t>Wantu, Fence M. Judges' Constraints in Creating Legal Certainty, Justice, and Benefits in Civil Courts. Journal of the Legal Pulpit. 25 No. 2, (2013). 205-218.</w:t>
      </w:r>
    </w:p>
    <w:p w:rsidR="00D10D59" w:rsidRDefault="00D10D59">
      <w:pPr>
        <w:spacing w:after="240" w:line="240" w:lineRule="auto"/>
        <w:ind w:left="993" w:hanging="993"/>
        <w:jc w:val="both"/>
        <w:rPr>
          <w:rFonts w:ascii="Book Antiqua" w:hAnsi="Book Antiqua" w:cs="Book Antiqua"/>
          <w:sz w:val="24"/>
          <w:szCs w:val="24"/>
          <w:lang w:val="id-ID" w:eastAsia="en-US"/>
        </w:rPr>
      </w:pPr>
    </w:p>
    <w:sectPr w:rsidR="00D10D59">
      <w:footerReference w:type="even" r:id="rId13"/>
      <w:footerReference w:type="default" r:id="rId14"/>
      <w:footerReference w:type="first" r:id="rId15"/>
      <w:pgSz w:w="11906" w:h="16838"/>
      <w:pgMar w:top="1701" w:right="1701" w:bottom="1701" w:left="1701"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1D9" w:rsidRDefault="005F61D9">
      <w:pPr>
        <w:spacing w:after="0" w:line="240" w:lineRule="auto"/>
      </w:pPr>
      <w:r>
        <w:separator/>
      </w:r>
    </w:p>
  </w:endnote>
  <w:endnote w:type="continuationSeparator" w:id="0">
    <w:p w:rsidR="005F61D9" w:rsidRDefault="005F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Bold;Times New">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ì??">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pitch w:val="variable"/>
  </w:font>
  <w:font w:name="Cambria">
    <w:panose1 w:val="02040503050406030204"/>
    <w:charset w:val="00"/>
    <w:family w:val="roman"/>
    <w:pitch w:val="variable"/>
    <w:sig w:usb0="E00002FF" w:usb1="400004FF" w:usb2="00000000" w:usb3="00000000" w:csb0="0000019F" w:csb1="00000000"/>
  </w:font>
  <w:font w:name="TimesNewRomanPSMT;Arial Unicode">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59" w:rsidRDefault="00D10D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59" w:rsidRDefault="005F61D9">
    <w:pPr>
      <w:pStyle w:val="Footer"/>
      <w:jc w:val="right"/>
    </w:pPr>
    <w:r>
      <w:t>Page |</w:t>
    </w:r>
    <w:r>
      <w:fldChar w:fldCharType="begin"/>
    </w:r>
    <w:r>
      <w:instrText>PAGE</w:instrText>
    </w:r>
    <w:r>
      <w:fldChar w:fldCharType="separate"/>
    </w:r>
    <w:r w:rsidR="0055609E">
      <w:rPr>
        <w:noProof/>
      </w:rPr>
      <w:t>13</w:t>
    </w:r>
    <w:r>
      <w:fldChar w:fldCharType="end"/>
    </w:r>
    <w:r>
      <w:t xml:space="preserve"> </w:t>
    </w:r>
  </w:p>
  <w:p w:rsidR="00D10D59" w:rsidRDefault="00D10D59">
    <w:pPr>
      <w:pStyle w:val="Footer"/>
    </w:pPr>
  </w:p>
  <w:p w:rsidR="00D10D59" w:rsidRDefault="00D10D59"/>
  <w:p w:rsidR="00D10D59" w:rsidRDefault="00D10D5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59" w:rsidRDefault="005F61D9">
    <w:pPr>
      <w:pStyle w:val="Footer"/>
      <w:jc w:val="right"/>
    </w:pPr>
    <w:r>
      <w:t>Page |</w:t>
    </w:r>
    <w:r>
      <w:fldChar w:fldCharType="begin"/>
    </w:r>
    <w:r>
      <w:instrText>PAGE</w:instrText>
    </w:r>
    <w:r>
      <w:fldChar w:fldCharType="separate"/>
    </w:r>
    <w:r w:rsidR="0055609E">
      <w:rPr>
        <w:noProof/>
      </w:rPr>
      <w:t>1</w:t>
    </w:r>
    <w:r>
      <w:fldChar w:fldCharType="end"/>
    </w:r>
    <w:r>
      <w:t xml:space="preserve"> </w:t>
    </w:r>
  </w:p>
  <w:p w:rsidR="00D10D59" w:rsidRDefault="00D10D59"/>
  <w:p w:rsidR="00D10D59" w:rsidRDefault="00D10D59"/>
  <w:p w:rsidR="00D10D59" w:rsidRDefault="00D10D5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1D9" w:rsidRDefault="005F61D9">
      <w:pPr>
        <w:rPr>
          <w:sz w:val="12"/>
        </w:rPr>
      </w:pPr>
      <w:r>
        <w:separator/>
      </w:r>
    </w:p>
  </w:footnote>
  <w:footnote w:type="continuationSeparator" w:id="0">
    <w:p w:rsidR="005F61D9" w:rsidRDefault="005F61D9">
      <w:pPr>
        <w:rPr>
          <w:sz w:val="12"/>
        </w:rPr>
      </w:pPr>
      <w:r>
        <w:continuationSeparator/>
      </w:r>
    </w:p>
  </w:footnote>
  <w:footnote w:id="1">
    <w:p w:rsidR="00D10D59" w:rsidRDefault="005F61D9">
      <w:pPr>
        <w:pStyle w:val="FootnoteText"/>
        <w:jc w:val="both"/>
      </w:pPr>
      <w:r>
        <w:rPr>
          <w:rStyle w:val="FootnoteCharacters"/>
        </w:rPr>
        <w:footnoteRef/>
      </w:r>
      <w:r>
        <w:rPr>
          <w:rFonts w:ascii="Book Antiqua" w:hAnsi="Book Antiqua" w:cs="Book Antiqua"/>
        </w:rPr>
        <w:t>Ekaningtyas, Ni Luh Drajati. (2020). Psychology of Communication and Sexual Violence in Early Childhood. Pratama Widya: Journal of Early Childhood Education. 5(2), 148.</w:t>
      </w:r>
    </w:p>
  </w:footnote>
  <w:footnote w:id="2">
    <w:p w:rsidR="00D10D59" w:rsidRDefault="005F61D9">
      <w:pPr>
        <w:pStyle w:val="FootnoteText"/>
        <w:jc w:val="both"/>
      </w:pPr>
      <w:r>
        <w:rPr>
          <w:rStyle w:val="FootnoteCharacters"/>
        </w:rPr>
        <w:footnoteRef/>
      </w:r>
      <w:r>
        <w:rPr>
          <w:rFonts w:ascii="Book Antiqua" w:hAnsi="Book Antiqua" w:cs="Book Antiqua"/>
        </w:rPr>
        <w:t>https://www.cnnindonesia.com/nasional/20220120030219-20-748827/14517-case-kerasan-anak</w:t>
      </w:r>
      <w:r>
        <w:rPr>
          <w:rFonts w:ascii="Book Antiqua" w:hAnsi="Book Antiqua" w:cs="Book Antiqua"/>
        </w:rPr>
        <w:t>-terjadi-sepanjang-2021.</w:t>
      </w:r>
    </w:p>
  </w:footnote>
  <w:footnote w:id="3">
    <w:p w:rsidR="00D10D59" w:rsidRDefault="005F61D9">
      <w:pPr>
        <w:pStyle w:val="FootnoteText"/>
        <w:jc w:val="both"/>
      </w:pPr>
      <w:r>
        <w:rPr>
          <w:rStyle w:val="FootnoteCharacters"/>
        </w:rPr>
        <w:footnoteRef/>
      </w:r>
      <w:r>
        <w:t>Prodjodikoro, Wirjono. Certain Crimes in Indonesia. (Jakarta : PT Reflika Aditama, 2002), 15</w:t>
      </w:r>
    </w:p>
  </w:footnote>
  <w:footnote w:id="4">
    <w:p w:rsidR="00D10D59" w:rsidRDefault="005F61D9">
      <w:pPr>
        <w:pStyle w:val="FootnoteText"/>
        <w:jc w:val="both"/>
      </w:pPr>
      <w:r>
        <w:rPr>
          <w:rStyle w:val="FootnoteCharacters"/>
        </w:rPr>
        <w:footnoteRef/>
      </w:r>
      <w:r>
        <w:rPr>
          <w:rFonts w:ascii="Book Antiqua" w:hAnsi="Book Antiqua" w:cs="Book Antiqua"/>
          <w:lang w:val="id-ID" w:eastAsia="en-US"/>
        </w:rPr>
        <w:t>Ismail, Dian Ekawaty., &amp; Sarson, Mohamad Taufiq Zulfikar. (2021). Criminology Analysis of Women's as Perpetrators of Domestic Violence C</w:t>
      </w:r>
      <w:r>
        <w:rPr>
          <w:rFonts w:ascii="Book Antiqua" w:hAnsi="Book Antiqua" w:cs="Book Antiqua"/>
          <w:lang w:val="id-ID" w:eastAsia="en-US"/>
        </w:rPr>
        <w:t>rimes. Journal of Law Review. 3(3), 58</w:t>
      </w:r>
    </w:p>
  </w:footnote>
  <w:footnote w:id="5">
    <w:p w:rsidR="00D10D59" w:rsidRDefault="005F61D9">
      <w:pPr>
        <w:spacing w:after="0" w:line="240" w:lineRule="auto"/>
        <w:jc w:val="both"/>
      </w:pPr>
      <w:r>
        <w:rPr>
          <w:rStyle w:val="FootnoteCharacters"/>
        </w:rPr>
        <w:footnoteRef/>
      </w:r>
      <w:r>
        <w:rPr>
          <w:rFonts w:ascii="Book Antiqua" w:hAnsi="Book Antiqua" w:cs="Book Antiqua"/>
          <w:sz w:val="20"/>
          <w:szCs w:val="20"/>
        </w:rPr>
        <w:t>Lakoro, Aniza., Badu, Lisnawaty W., &amp; Achir, Nuvazria. (2020). Weak Police in Handling Crimes of Online Togel Gambling”. Legality Journal. 13(1), 36</w:t>
      </w:r>
    </w:p>
  </w:footnote>
  <w:footnote w:id="6">
    <w:p w:rsidR="00D10D59" w:rsidRDefault="005F61D9">
      <w:pPr>
        <w:pStyle w:val="FootnoteText"/>
        <w:jc w:val="both"/>
        <w:rPr>
          <w:rFonts w:ascii="Book Antiqua" w:hAnsi="Book Antiqua" w:cs="Book Antiqua"/>
          <w:lang w:val="id-ID"/>
        </w:rPr>
      </w:pPr>
      <w:r>
        <w:rPr>
          <w:rStyle w:val="FootnoteCharacters"/>
        </w:rPr>
        <w:footnoteRef/>
      </w:r>
      <w:r>
        <w:rPr>
          <w:rFonts w:ascii="Book Antiqua" w:hAnsi="Book Antiqua" w:cs="Book Antiqua"/>
        </w:rPr>
        <w:t>Nashriana. Criminal Law Protection for Children in Indonesia. (Jakarta: PT RajaGrafindo Persada 2012), 3</w:t>
      </w:r>
    </w:p>
  </w:footnote>
  <w:footnote w:id="7">
    <w:p w:rsidR="00D10D59" w:rsidRDefault="005F61D9">
      <w:pPr>
        <w:pStyle w:val="FootnoteText"/>
        <w:jc w:val="both"/>
      </w:pPr>
      <w:r>
        <w:rPr>
          <w:rStyle w:val="FootnoteCharacters"/>
        </w:rPr>
        <w:footnoteRef/>
      </w:r>
      <w:r>
        <w:rPr>
          <w:rFonts w:ascii="Book Antiqua" w:hAnsi="Book Antiqua" w:cs="Book Antiqua"/>
        </w:rPr>
        <w:t>AS Alam and Amir Ilyas. Criminology An Introduction. (Jakarta: Prenadamedia Group, 2018), 29</w:t>
      </w:r>
    </w:p>
  </w:footnote>
  <w:footnote w:id="8">
    <w:p w:rsidR="00D10D59" w:rsidRDefault="005F61D9">
      <w:pPr>
        <w:pStyle w:val="FootnoteText"/>
        <w:jc w:val="both"/>
      </w:pPr>
      <w:r>
        <w:rPr>
          <w:rStyle w:val="FootnoteCharacters"/>
        </w:rPr>
        <w:footnoteRef/>
      </w:r>
      <w:r>
        <w:rPr>
          <w:rFonts w:ascii="Book Antiqua" w:hAnsi="Book Antiqua" w:cs="Book Antiqua"/>
        </w:rPr>
        <w:t>Kendi, John. (2017). Criminal Policy in the Indonesian L</w:t>
      </w:r>
      <w:r>
        <w:rPr>
          <w:rFonts w:ascii="Book Antiqua" w:hAnsi="Book Antiqua" w:cs="Book Antiqua"/>
        </w:rPr>
        <w:t>aw State: Efforts to Welfare the Community (Social Welfare). Journal of Islamic Government and Politics. 2 (1), 19</w:t>
      </w:r>
    </w:p>
  </w:footnote>
  <w:footnote w:id="9">
    <w:p w:rsidR="00D10D59" w:rsidRDefault="005F61D9">
      <w:pPr>
        <w:pStyle w:val="FootnoteText"/>
        <w:jc w:val="both"/>
      </w:pPr>
      <w:r>
        <w:rPr>
          <w:rStyle w:val="FootnoteCharacters"/>
        </w:rPr>
        <w:footnoteRef/>
      </w:r>
      <w:r>
        <w:rPr>
          <w:rFonts w:ascii="Book Antiqua" w:hAnsi="Book Antiqua" w:cs="Book Antiqua"/>
        </w:rPr>
        <w:t>Soekanto, Soerjono. Introduction to Legal Research. (Jakarta: UI- Press, 2010), 11</w:t>
      </w:r>
    </w:p>
  </w:footnote>
  <w:footnote w:id="10">
    <w:p w:rsidR="00D10D59" w:rsidRDefault="005F61D9">
      <w:pPr>
        <w:pStyle w:val="FootnoteText"/>
        <w:ind w:left="142" w:hanging="142"/>
        <w:jc w:val="both"/>
      </w:pPr>
      <w:r>
        <w:rPr>
          <w:rStyle w:val="FootnoteCharacters"/>
        </w:rPr>
        <w:footnoteRef/>
      </w:r>
      <w:r>
        <w:rPr>
          <w:rFonts w:ascii="Book Antiqua" w:hAnsi="Book Antiqua" w:cs="Book Antiqua"/>
          <w:lang w:val="id-ID" w:eastAsia="en-US"/>
        </w:rPr>
        <w:tab/>
        <w:t>Daffodil, Dolot Alhasni. (2020). Determination of Legal</w:t>
      </w:r>
      <w:r>
        <w:rPr>
          <w:rFonts w:ascii="Book Antiqua" w:hAnsi="Book Antiqua" w:cs="Book Antiqua"/>
          <w:lang w:val="id-ID" w:eastAsia="en-US"/>
        </w:rPr>
        <w:t xml:space="preserve"> Protection for Neighboring Right Holders.</w:t>
      </w:r>
      <w:r>
        <w:rPr>
          <w:rFonts w:ascii="Book Antiqua" w:hAnsi="Book Antiqua" w:cs="Book Antiqua"/>
          <w:i/>
          <w:lang w:val="id-ID" w:eastAsia="en-US"/>
        </w:rPr>
        <w:t>Journal of Law Review.</w:t>
      </w:r>
      <w:r>
        <w:rPr>
          <w:rFonts w:ascii="Book Antiqua" w:hAnsi="Book Antiqua" w:cs="Book Antiqua"/>
          <w:lang w:val="id-ID" w:eastAsia="en-US"/>
        </w:rPr>
        <w:t>2(1), 67</w:t>
      </w:r>
    </w:p>
  </w:footnote>
  <w:footnote w:id="11">
    <w:p w:rsidR="00D10D59" w:rsidRDefault="005F61D9">
      <w:pPr>
        <w:pStyle w:val="FootnoteText"/>
        <w:jc w:val="both"/>
      </w:pPr>
      <w:r>
        <w:rPr>
          <w:rStyle w:val="FootnoteCharacters"/>
        </w:rPr>
        <w:footnoteRef/>
      </w:r>
      <w:r>
        <w:rPr>
          <w:rFonts w:ascii="Book Antiqua" w:hAnsi="Book Antiqua" w:cs="Book Antiqua"/>
        </w:rPr>
        <w:t>Achir, Nuvazria, and Sri Nanang Meiske Kamba. (2021). The function of sharia-based Regional Regulations on Education and Social Services in the Regions. Jambura Law Review. 3 Special</w:t>
      </w:r>
      <w:r>
        <w:rPr>
          <w:rFonts w:ascii="Book Antiqua" w:hAnsi="Book Antiqua" w:cs="Book Antiqua"/>
        </w:rPr>
        <w:t xml:space="preserve"> Issues, 16</w:t>
      </w:r>
    </w:p>
  </w:footnote>
  <w:footnote w:id="12">
    <w:p w:rsidR="00D10D59" w:rsidRDefault="005F61D9">
      <w:pPr>
        <w:pStyle w:val="FootnoteText"/>
        <w:ind w:left="142" w:hanging="142"/>
        <w:jc w:val="both"/>
      </w:pPr>
      <w:r>
        <w:rPr>
          <w:rStyle w:val="FootnoteCharacters"/>
        </w:rPr>
        <w:footnoteRef/>
      </w:r>
      <w:r>
        <w:rPr>
          <w:rFonts w:ascii="Book Antiqua" w:hAnsi="Book Antiqua" w:cs="Book Antiqua"/>
          <w:lang w:val="id-ID" w:eastAsia="en-US"/>
        </w:rPr>
        <w:tab/>
        <w:t xml:space="preserve"> Puluhulawa, Fenty., Tujow, Lusiana M., &amp; Sutrisno. (2020). Application of the Principles of Justice, Legal Certainty and Benefit in Judge's Decisions. Gorontalo Law Review Journal. 3, (2), 184</w:t>
      </w:r>
    </w:p>
  </w:footnote>
  <w:footnote w:id="13">
    <w:p w:rsidR="00D10D59" w:rsidRDefault="005F61D9">
      <w:pPr>
        <w:pStyle w:val="FootnoteText"/>
        <w:jc w:val="both"/>
      </w:pPr>
      <w:r>
        <w:rPr>
          <w:rStyle w:val="FootnoteCharacters"/>
        </w:rPr>
        <w:footnoteRef/>
      </w:r>
      <w:r>
        <w:rPr>
          <w:rFonts w:ascii="Book Antiqua" w:hAnsi="Book Antiqua" w:cs="Book Antiqua"/>
        </w:rPr>
        <w:t>M, Arief Mansur, D., &amp; Gultom, E. The Urgency o</w:t>
      </w:r>
      <w:r>
        <w:rPr>
          <w:rFonts w:ascii="Book Antiqua" w:hAnsi="Book Antiqua" w:cs="Book Antiqua"/>
        </w:rPr>
        <w:t>f Crime Victim Protection. (Jakarta : PT RajaGrafindo Persada, 2007), 137</w:t>
      </w:r>
    </w:p>
  </w:footnote>
  <w:footnote w:id="14">
    <w:p w:rsidR="00D10D59" w:rsidRDefault="005F61D9">
      <w:pPr>
        <w:pStyle w:val="FootnoteText"/>
        <w:jc w:val="both"/>
      </w:pPr>
      <w:r>
        <w:rPr>
          <w:rStyle w:val="FootnoteCharacters"/>
        </w:rPr>
        <w:footnoteRef/>
      </w:r>
      <w:r>
        <w:rPr>
          <w:rFonts w:ascii="Book Antiqua" w:hAnsi="Book Antiqua" w:cs="Book Antiqua"/>
          <w:lang w:val="id-ID" w:eastAsia="en-US"/>
        </w:rPr>
        <w:t>Wantu, Fence M. Criminal Procedure Law. (Yokyakarta: Reviva Cendekia, 2011), 13</w:t>
      </w:r>
    </w:p>
  </w:footnote>
  <w:footnote w:id="15">
    <w:p w:rsidR="00D10D59" w:rsidRDefault="005F61D9">
      <w:pPr>
        <w:pStyle w:val="FootnoteText"/>
        <w:jc w:val="both"/>
        <w:rPr>
          <w:rFonts w:ascii="Book Antiqua" w:hAnsi="Book Antiqua" w:cs="Book Antiqua"/>
        </w:rPr>
      </w:pPr>
      <w:r>
        <w:rPr>
          <w:rStyle w:val="FootnoteCharacters"/>
        </w:rPr>
        <w:footnoteRef/>
      </w:r>
      <w:r>
        <w:rPr>
          <w:rFonts w:ascii="Book Antiqua" w:hAnsi="Book Antiqua" w:cs="Book Antiqua"/>
        </w:rPr>
        <w:t xml:space="preserve"> </w:t>
      </w:r>
      <w:r>
        <w:rPr>
          <w:rFonts w:ascii="Book Antiqua" w:eastAsia="Times New Roman" w:hAnsi="Book Antiqua" w:cs="Book Antiqua"/>
          <w:lang w:eastAsia="id-ID"/>
        </w:rPr>
        <w:t xml:space="preserve">Alhasni, Mohamad Rizky., Badu, Lisnawaty W., &amp; Nggilu, Novendri M. (2019). Assessing the Role of </w:t>
      </w:r>
      <w:r>
        <w:rPr>
          <w:rFonts w:ascii="Book Antiqua" w:eastAsia="Times New Roman" w:hAnsi="Book Antiqua" w:cs="Book Antiqua"/>
          <w:lang w:eastAsia="id-ID"/>
        </w:rPr>
        <w:t>the Police in Preventing the Crime of Obscenity Against Minors. Legality Journal. 12(2), 112</w:t>
      </w:r>
    </w:p>
  </w:footnote>
  <w:footnote w:id="16">
    <w:p w:rsidR="00D10D59" w:rsidRDefault="005F61D9">
      <w:pPr>
        <w:pStyle w:val="FootnoteText"/>
        <w:jc w:val="both"/>
      </w:pPr>
      <w:r>
        <w:rPr>
          <w:rStyle w:val="FootnoteCharacters"/>
        </w:rPr>
        <w:footnoteRef/>
      </w:r>
      <w:r>
        <w:rPr>
          <w:rFonts w:ascii="Book Antiqua" w:hAnsi="Book Antiqua" w:cs="Book Antiqua"/>
          <w:lang w:val="id-ID" w:eastAsia="en-US"/>
        </w:rPr>
        <w:t>Puluhulawa, Jufryanto., Towadi, Mellisa., &amp; Swarianata, Vifi. (2020). Leato / Japanese Cargo Wreck Underwater Site Legal Protection. Journal of Legal Reform, 24(2</w:t>
      </w:r>
      <w:r>
        <w:rPr>
          <w:rFonts w:ascii="Book Antiqua" w:hAnsi="Book Antiqua" w:cs="Book Antiqua"/>
          <w:lang w:val="id-ID" w:eastAsia="en-US"/>
        </w:rPr>
        <w:t>), 197</w:t>
      </w:r>
    </w:p>
  </w:footnote>
  <w:footnote w:id="17">
    <w:p w:rsidR="00D10D59" w:rsidRDefault="005F61D9">
      <w:pPr>
        <w:pStyle w:val="FootnoteText"/>
        <w:jc w:val="both"/>
        <w:rPr>
          <w:rFonts w:ascii="Book Antiqua" w:hAnsi="Book Antiqua" w:cs="Book Antiqua"/>
        </w:rPr>
      </w:pPr>
      <w:r>
        <w:rPr>
          <w:rStyle w:val="FootnoteCharacters"/>
        </w:rPr>
        <w:footnoteRef/>
      </w:r>
      <w:r>
        <w:rPr>
          <w:rFonts w:ascii="Book Antiqua" w:hAnsi="Book Antiqua" w:cs="Book Antiqua"/>
        </w:rPr>
        <w:t>Wahid, Abdul &amp; Irfan, Muhammad. Protection of Victims of Sexual Violence Advocacy on Women's Human Rights. (Bandung: PT Rafika Aditama, 2011), 7</w:t>
      </w:r>
    </w:p>
  </w:footnote>
  <w:footnote w:id="18">
    <w:p w:rsidR="00D10D59" w:rsidRDefault="005F61D9">
      <w:pPr>
        <w:pStyle w:val="FootnoteText"/>
        <w:jc w:val="both"/>
        <w:rPr>
          <w:rFonts w:ascii="Book Antiqua" w:hAnsi="Book Antiqua" w:cs="Book Antiqua"/>
          <w:lang w:val="id-ID"/>
        </w:rPr>
      </w:pPr>
      <w:r>
        <w:rPr>
          <w:rStyle w:val="FootnoteCharacters"/>
        </w:rPr>
        <w:footnoteRef/>
      </w:r>
      <w:r>
        <w:rPr>
          <w:rFonts w:ascii="Book Antiqua" w:hAnsi="Book Antiqua" w:cs="Book Antiqua"/>
        </w:rPr>
        <w:t>Interview with Muh. Arianto as the Satreskrim of the Bone Bolango Police. Tuesday, December 6, 2021</w:t>
      </w:r>
    </w:p>
  </w:footnote>
  <w:footnote w:id="19">
    <w:p w:rsidR="00D10D59" w:rsidRDefault="005F61D9">
      <w:pPr>
        <w:pStyle w:val="FootnoteText"/>
        <w:jc w:val="both"/>
      </w:pPr>
      <w:r>
        <w:rPr>
          <w:rStyle w:val="FootnoteCharacters"/>
        </w:rPr>
        <w:footnoteRef/>
      </w:r>
      <w:r>
        <w:rPr>
          <w:rFonts w:ascii="Book Antiqua" w:hAnsi="Book Antiqua" w:cs="Book Antiqua"/>
          <w:lang w:val="id-ID" w:eastAsia="en-US"/>
        </w:rPr>
        <w:t>F</w:t>
      </w:r>
      <w:r>
        <w:rPr>
          <w:rFonts w:ascii="Book Antiqua" w:hAnsi="Book Antiqua" w:cs="Book Antiqua"/>
          <w:lang w:val="id-ID" w:eastAsia="en-US"/>
        </w:rPr>
        <w:t>ajar, Mukti., &amp; Achmad, Yulianto. Dualism in Legal Research (Normative and Empirical), (Yogyakarta: Pustaka Pelajar, 2010), 153.</w:t>
      </w:r>
    </w:p>
  </w:footnote>
  <w:footnote w:id="20">
    <w:p w:rsidR="00D10D59" w:rsidRDefault="005F61D9">
      <w:pPr>
        <w:pStyle w:val="FootnoteText"/>
        <w:jc w:val="both"/>
      </w:pPr>
      <w:r>
        <w:rPr>
          <w:rStyle w:val="FootnoteCharacters"/>
        </w:rPr>
        <w:footnoteRef/>
      </w:r>
      <w:r>
        <w:rPr>
          <w:rFonts w:ascii="Book Antiqua" w:hAnsi="Book Antiqua" w:cs="Book Antiqua"/>
        </w:rPr>
        <w:t>Ahir, Nuvazria. (2022). Fulfillment Of The Constitutional Rights Of Abandoned Children Victims Of Economic Exploitation. Journ</w:t>
      </w:r>
      <w:r>
        <w:rPr>
          <w:rFonts w:ascii="Book Antiqua" w:hAnsi="Book Antiqua" w:cs="Book Antiqua"/>
        </w:rPr>
        <w:t>al of Jambura Law Review .4(1), 161.</w:t>
      </w:r>
    </w:p>
  </w:footnote>
  <w:footnote w:id="21">
    <w:p w:rsidR="00D10D59" w:rsidRDefault="005F61D9">
      <w:pPr>
        <w:pStyle w:val="FootnoteText"/>
        <w:jc w:val="both"/>
        <w:rPr>
          <w:rFonts w:ascii="Book Antiqua" w:hAnsi="Book Antiqua" w:cs="Book Antiqua"/>
          <w:lang w:val="id-ID"/>
        </w:rPr>
      </w:pPr>
      <w:r>
        <w:rPr>
          <w:rStyle w:val="FootnoteCharacters"/>
        </w:rPr>
        <w:footnoteRef/>
      </w:r>
      <w:r>
        <w:rPr>
          <w:rFonts w:ascii="Book Antiqua" w:hAnsi="Book Antiqua" w:cs="Book Antiqua"/>
        </w:rPr>
        <w:t>Kansil, CST Introduction to Indonesian Law and Legal Administration. (Jakarta: Balai Pustaka, 1989), 40</w:t>
      </w:r>
    </w:p>
  </w:footnote>
  <w:footnote w:id="22">
    <w:p w:rsidR="00D10D59" w:rsidRDefault="005F61D9">
      <w:pPr>
        <w:pStyle w:val="FootnoteText"/>
        <w:jc w:val="both"/>
      </w:pPr>
      <w:r>
        <w:rPr>
          <w:rStyle w:val="FootnoteCharacters"/>
        </w:rPr>
        <w:footnoteRef/>
      </w:r>
      <w:r>
        <w:rPr>
          <w:rFonts w:ascii="Book Antiqua" w:hAnsi="Book Antiqua" w:cs="Book Antiqua"/>
        </w:rPr>
        <w:t xml:space="preserve">Santiago, Faisal. (2017). Law Enforcement of Corruption Crimes by Law Enforcers for the Creation of Legal Order. </w:t>
      </w:r>
      <w:r>
        <w:rPr>
          <w:rFonts w:ascii="Book Antiqua" w:hAnsi="Book Antiqua" w:cs="Book Antiqua"/>
        </w:rPr>
        <w:t>Pagaruyung Law Journal. 1 (1), 23</w:t>
      </w:r>
    </w:p>
  </w:footnote>
  <w:footnote w:id="23">
    <w:p w:rsidR="00D10D59" w:rsidRDefault="005F61D9">
      <w:pPr>
        <w:pStyle w:val="FootnoteText"/>
        <w:jc w:val="both"/>
      </w:pPr>
      <w:r>
        <w:rPr>
          <w:rStyle w:val="FootnoteCharacters"/>
        </w:rPr>
        <w:footnoteRef/>
      </w:r>
      <w:r>
        <w:rPr>
          <w:rFonts w:ascii="Book Antiqua" w:hAnsi="Book Antiqua" w:cs="Book Antiqua"/>
        </w:rPr>
        <w:t>Article 5 Paragraph 1 of Law Number 39 of 1999 concerning Human Rights.</w:t>
      </w:r>
    </w:p>
  </w:footnote>
  <w:footnote w:id="24">
    <w:p w:rsidR="00D10D59" w:rsidRDefault="005F61D9">
      <w:pPr>
        <w:pStyle w:val="FootnoteText"/>
        <w:jc w:val="both"/>
        <w:rPr>
          <w:rFonts w:ascii="Book Antiqua" w:hAnsi="Book Antiqua" w:cs="Book Antiqua"/>
          <w:lang w:val="id-ID"/>
        </w:rPr>
      </w:pPr>
      <w:r>
        <w:rPr>
          <w:rStyle w:val="FootnoteCharacters"/>
        </w:rPr>
        <w:footnoteRef/>
      </w:r>
      <w:r>
        <w:rPr>
          <w:rFonts w:ascii="Book Antiqua" w:hAnsi="Book Antiqua" w:cs="Book Antiqua"/>
        </w:rPr>
        <w:t>Law Number 35 of 2014 amendments to Law Number 23 of 2002 concerning Child Protection</w:t>
      </w:r>
    </w:p>
  </w:footnote>
  <w:footnote w:id="25">
    <w:p w:rsidR="00D10D59" w:rsidRDefault="005F61D9">
      <w:pPr>
        <w:pStyle w:val="FootnoteText"/>
        <w:ind w:left="142" w:hanging="142"/>
        <w:jc w:val="both"/>
      </w:pPr>
      <w:r>
        <w:rPr>
          <w:rStyle w:val="FootnoteCharacters"/>
        </w:rPr>
        <w:footnoteRef/>
      </w:r>
      <w:r>
        <w:rPr>
          <w:rFonts w:ascii="Book Antiqua" w:hAnsi="Book Antiqua" w:cs="Book Antiqua"/>
          <w:lang w:val="id-ID" w:eastAsia="en-US"/>
        </w:rPr>
        <w:tab/>
        <w:t>Badu, Lisnawaty. (2012). Euthanasia and Human Rights.</w:t>
      </w:r>
      <w:r>
        <w:rPr>
          <w:rFonts w:ascii="Book Antiqua" w:hAnsi="Book Antiqua" w:cs="Book Antiqua"/>
          <w:i/>
          <w:lang w:val="id-ID" w:eastAsia="en-US"/>
        </w:rPr>
        <w:t>Legalit</w:t>
      </w:r>
      <w:r>
        <w:rPr>
          <w:rFonts w:ascii="Book Antiqua" w:hAnsi="Book Antiqua" w:cs="Book Antiqua"/>
          <w:i/>
          <w:lang w:val="id-ID" w:eastAsia="en-US"/>
        </w:rPr>
        <w:t>y Journal</w:t>
      </w:r>
      <w:r>
        <w:rPr>
          <w:rFonts w:ascii="Book Antiqua" w:hAnsi="Book Antiqua" w:cs="Book Antiqua"/>
          <w:lang w:val="id-ID" w:eastAsia="en-US"/>
        </w:rPr>
        <w:t>. 5(1), 1</w:t>
      </w:r>
    </w:p>
  </w:footnote>
  <w:footnote w:id="26">
    <w:p w:rsidR="00D10D59" w:rsidRDefault="005F61D9">
      <w:pPr>
        <w:pStyle w:val="FootnoteText"/>
        <w:jc w:val="both"/>
      </w:pPr>
      <w:r>
        <w:rPr>
          <w:rStyle w:val="FootnoteCharacters"/>
        </w:rPr>
        <w:footnoteRef/>
      </w:r>
      <w:r>
        <w:rPr>
          <w:rFonts w:ascii="Book Antiqua" w:hAnsi="Book Antiqua" w:cs="Book Antiqua"/>
          <w:lang w:val="id-ID" w:eastAsia="en-US"/>
        </w:rPr>
        <w:t>Nggilu, Novendri M.. (2020). Juridical Review of Criminal Sanction Arrangements in Gorontalo Provincial Regulations. Lambung Mangkurat Law Journal. 5(2), 110</w:t>
      </w:r>
    </w:p>
  </w:footnote>
  <w:footnote w:id="27">
    <w:p w:rsidR="00D10D59" w:rsidRDefault="005F61D9">
      <w:pPr>
        <w:pStyle w:val="FootnoteText"/>
        <w:rPr>
          <w:lang w:val="id-ID"/>
        </w:rPr>
      </w:pPr>
      <w:r>
        <w:rPr>
          <w:rStyle w:val="FootnoteCharacters"/>
        </w:rPr>
        <w:footnoteRef/>
      </w:r>
      <w:r>
        <w:t>Interview with First Brigadier Fingky A. Mantali and First Brigadier Desriyanti Ngoiyo. Tuesday, June 7, 2022.</w:t>
      </w:r>
    </w:p>
  </w:footnote>
  <w:footnote w:id="28">
    <w:p w:rsidR="00D10D59" w:rsidRDefault="005F61D9">
      <w:pPr>
        <w:pStyle w:val="FootnoteText"/>
        <w:ind w:left="142" w:hanging="142"/>
        <w:jc w:val="both"/>
      </w:pPr>
      <w:r>
        <w:rPr>
          <w:rStyle w:val="FootnoteCharacters"/>
        </w:rPr>
        <w:footnoteRef/>
      </w:r>
      <w:r>
        <w:rPr>
          <w:rFonts w:ascii="Book Antiqua" w:hAnsi="Book Antiqua" w:cs="Book Antiqua"/>
          <w:lang w:val="id-ID" w:eastAsia="en-US"/>
        </w:rPr>
        <w:tab/>
        <w:t>Tijow, Luciana. Protection of Human Rights to the Right to Life of Children in the womb outside of a legal marriage.</w:t>
      </w:r>
      <w:r>
        <w:rPr>
          <w:rFonts w:ascii="Book Antiqua" w:hAnsi="Book Antiqua" w:cs="Book Antiqua"/>
          <w:i/>
          <w:lang w:val="id-ID" w:eastAsia="en-US"/>
        </w:rPr>
        <w:t>Legality Journal</w:t>
      </w:r>
      <w:r>
        <w:rPr>
          <w:rFonts w:ascii="Book Antiqua" w:hAnsi="Book Antiqua" w:cs="Book Antiqua"/>
          <w:lang w:val="id-ID" w:eastAsia="en-US"/>
        </w:rPr>
        <w:t>. 3 (2), 80</w:t>
      </w:r>
    </w:p>
  </w:footnote>
  <w:footnote w:id="29">
    <w:p w:rsidR="00D10D59" w:rsidRDefault="005F61D9">
      <w:pPr>
        <w:pStyle w:val="FootnoteText"/>
        <w:ind w:left="142" w:hanging="142"/>
        <w:jc w:val="both"/>
      </w:pPr>
      <w:r>
        <w:rPr>
          <w:rStyle w:val="FootnoteCharacters"/>
        </w:rPr>
        <w:footnoteRef/>
      </w:r>
      <w:r>
        <w:rPr>
          <w:rFonts w:ascii="Book Antiqua" w:hAnsi="Book Antiqua" w:cs="Book Antiqua"/>
          <w:lang w:val="id-ID" w:eastAsia="en-US"/>
        </w:rPr>
        <w:tab/>
        <w:t>Wantu, Fence M. (2013). Judge's Obstacles in Creating Legal Certainty, Justice, and Benefits in Civil Courts</w:t>
      </w:r>
      <w:r>
        <w:rPr>
          <w:rFonts w:ascii="Book Antiqua" w:hAnsi="Book Antiqua" w:cs="Book Antiqua"/>
          <w:i/>
          <w:lang w:val="id-ID" w:eastAsia="en-US"/>
        </w:rPr>
        <w:t>. Legal Pulpit Journal</w:t>
      </w:r>
      <w:r>
        <w:rPr>
          <w:rFonts w:ascii="Book Antiqua" w:hAnsi="Book Antiqua" w:cs="Book Antiqua"/>
          <w:lang w:val="id-ID" w:eastAsia="en-US"/>
        </w:rPr>
        <w:t>, 25 (2), 206</w:t>
      </w:r>
    </w:p>
  </w:footnote>
  <w:footnote w:id="30">
    <w:p w:rsidR="00D10D59" w:rsidRDefault="005F61D9">
      <w:pPr>
        <w:pStyle w:val="FootnoteText"/>
        <w:jc w:val="both"/>
      </w:pPr>
      <w:r>
        <w:rPr>
          <w:rStyle w:val="FootnoteCharacters"/>
        </w:rPr>
        <w:footnoteRef/>
      </w:r>
      <w:r>
        <w:rPr>
          <w:rFonts w:ascii="Book Antiqua" w:hAnsi="Book Antiqua" w:cs="Book Antiqua"/>
          <w:lang w:val="id-ID" w:eastAsia="en-US"/>
        </w:rPr>
        <w:t>Imran, Suwitno Y. (2021). The Urgency of Regulation of the Ultra Qui Judicat Principle in Criminal Judgments</w:t>
      </w:r>
      <w:r>
        <w:rPr>
          <w:rFonts w:ascii="Book Antiqua" w:hAnsi="Book Antiqua" w:cs="Book Antiqua"/>
          <w:lang w:val="id-ID" w:eastAsia="en-US"/>
        </w:rPr>
        <w:t>. Journal of Law Review. 3(2), 398</w:t>
      </w:r>
    </w:p>
  </w:footnote>
  <w:footnote w:id="31">
    <w:p w:rsidR="00D10D59" w:rsidRDefault="005F61D9">
      <w:pPr>
        <w:pStyle w:val="FootnoteText"/>
        <w:jc w:val="both"/>
        <w:rPr>
          <w:rFonts w:ascii="Book Antiqua" w:hAnsi="Book Antiqua" w:cs="Book Antiqua"/>
        </w:rPr>
      </w:pPr>
      <w:r>
        <w:rPr>
          <w:rStyle w:val="FootnoteCharacters"/>
        </w:rPr>
        <w:footnoteRef/>
      </w:r>
      <w:r>
        <w:rPr>
          <w:rFonts w:ascii="Book Antiqua" w:hAnsi="Book Antiqua" w:cs="Book Antiqua"/>
        </w:rPr>
        <w:t xml:space="preserve"> </w:t>
      </w:r>
      <w:r>
        <w:rPr>
          <w:rFonts w:ascii="Book Antiqua" w:eastAsia="Times New Roman" w:hAnsi="Book Antiqua" w:cs="Book Antiqua"/>
          <w:lang w:eastAsia="id-ID"/>
        </w:rPr>
        <w:t>Ismail, Dian Ekawaty., Tamu, Yowan. (2009). Efforts to Protect the Rights of Suspects/Defendants Through Pretrial Mechanisms in Gorontalo City. Journal of the Legal Pulpit. 21(1), 83</w:t>
      </w:r>
    </w:p>
  </w:footnote>
  <w:footnote w:id="32">
    <w:p w:rsidR="00D10D59" w:rsidRDefault="005F61D9">
      <w:pPr>
        <w:spacing w:after="0"/>
        <w:jc w:val="both"/>
        <w:rPr>
          <w:rFonts w:ascii="Book Antiqua" w:hAnsi="Book Antiqua" w:cs="Book Antiqua"/>
          <w:sz w:val="20"/>
          <w:szCs w:val="20"/>
        </w:rPr>
      </w:pPr>
      <w:r>
        <w:rPr>
          <w:rStyle w:val="FootnoteCharacters"/>
        </w:rPr>
        <w:footnoteRef/>
      </w:r>
      <w:r>
        <w:rPr>
          <w:rFonts w:ascii="Book Antiqua" w:hAnsi="Book Antiqua" w:cs="Book Antiqua"/>
          <w:sz w:val="20"/>
          <w:szCs w:val="20"/>
        </w:rPr>
        <w:t xml:space="preserve">Towadi, M., Kasim, NM, Rumawi, R., </w:t>
      </w:r>
      <w:r>
        <w:rPr>
          <w:rFonts w:ascii="Book Antiqua" w:hAnsi="Book Antiqua" w:cs="Book Antiqua"/>
          <w:sz w:val="20"/>
          <w:szCs w:val="20"/>
        </w:rPr>
        <w:t>&amp; Tahir, SA (2021). An Indication of China's Policy towards Uighurs and its Implications by International Law Aspects. Jambura Law Review. 3( 1), 66</w:t>
      </w:r>
    </w:p>
  </w:footnote>
  <w:footnote w:id="33">
    <w:p w:rsidR="00D10D59" w:rsidRDefault="005F61D9">
      <w:pPr>
        <w:pStyle w:val="FootnoteText"/>
        <w:jc w:val="both"/>
        <w:rPr>
          <w:rFonts w:ascii="Book Antiqua" w:hAnsi="Book Antiqua" w:cs="Book Antiqua"/>
        </w:rPr>
      </w:pPr>
      <w:r>
        <w:rPr>
          <w:rStyle w:val="FootnoteCharacters"/>
        </w:rPr>
        <w:footnoteRef/>
      </w:r>
      <w:r>
        <w:rPr>
          <w:rFonts w:ascii="Book Antiqua" w:hAnsi="Book Antiqua" w:cs="Book Antiqua"/>
        </w:rPr>
        <w:t xml:space="preserve"> </w:t>
      </w:r>
      <w:r>
        <w:rPr>
          <w:rFonts w:ascii="Book Antiqua" w:hAnsi="Book Antiqua" w:cs="Arial"/>
          <w:shd w:val="clear" w:color="auto" w:fill="FFFFFF"/>
        </w:rPr>
        <w:t xml:space="preserve">Puluhulawa, MRU, &amp; Husain, R. (2021). Body Shaming Through Social Media As a Digital Crime In The Era of </w:t>
      </w:r>
      <w:r>
        <w:rPr>
          <w:rFonts w:ascii="Book Antiqua" w:hAnsi="Book Antiqua" w:cs="Arial"/>
          <w:shd w:val="clear" w:color="auto" w:fill="FFFFFF"/>
        </w:rPr>
        <w:t>Disruption. Jambura Law Review, 3</w:t>
      </w:r>
      <w:r>
        <w:rPr>
          <w:rFonts w:ascii="Book Antiqua" w:hAnsi="Book Antiqua" w:cs="Book Antiqua"/>
          <w:shd w:val="clear" w:color="auto" w:fill="FFFFFF"/>
        </w:rPr>
        <w:t>(1), 117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7F9"/>
    <w:multiLevelType w:val="multilevel"/>
    <w:tmpl w:val="9DFA2BAA"/>
    <w:lvl w:ilvl="0">
      <w:start w:val="1"/>
      <w:numFmt w:val="lowerLetter"/>
      <w:lvlText w:val="%1."/>
      <w:lvlJc w:val="left"/>
      <w:pPr>
        <w:tabs>
          <w:tab w:val="num" w:pos="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8425FC"/>
    <w:multiLevelType w:val="multilevel"/>
    <w:tmpl w:val="CB2CD7BA"/>
    <w:lvl w:ilvl="0">
      <w:start w:val="1"/>
      <w:numFmt w:val="decimal"/>
      <w:lvlText w:val="%1."/>
      <w:lvlJc w:val="left"/>
      <w:pPr>
        <w:tabs>
          <w:tab w:val="num" w:pos="0"/>
        </w:tabs>
        <w:ind w:left="360" w:hanging="360"/>
      </w:pPr>
      <w:rPr>
        <w:rFonts w:eastAsia="Calibri" w:cs="Arial"/>
        <w:b/>
        <w:i w:val="0"/>
        <w:color w:val="000000"/>
        <w:sz w:val="28"/>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377F06"/>
    <w:multiLevelType w:val="multilevel"/>
    <w:tmpl w:val="AE6AB3E8"/>
    <w:lvl w:ilvl="0">
      <w:start w:val="1"/>
      <w:numFmt w:val="none"/>
      <w:suff w:val="nothing"/>
      <w:lvlText w:val=""/>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928"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 w15:restartNumberingAfterBreak="0">
    <w:nsid w:val="57D128D4"/>
    <w:multiLevelType w:val="multilevel"/>
    <w:tmpl w:val="F0FEE9A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59"/>
    <w:rsid w:val="00326B3C"/>
    <w:rsid w:val="0055609E"/>
    <w:rsid w:val="005F61D9"/>
    <w:rsid w:val="00D1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6E9E"/>
  <w15:docId w15:val="{8BC21860-EA8C-4EDD-9240-344B8146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8"/>
      <w:lang w:bidi="bn-IN"/>
    </w:rPr>
  </w:style>
  <w:style w:type="paragraph" w:styleId="Heading1">
    <w:name w:val="heading 1"/>
    <w:next w:val="Normal"/>
    <w:qFormat/>
    <w:pPr>
      <w:keepNext/>
      <w:keepLines/>
      <w:numPr>
        <w:numId w:val="1"/>
      </w:numPr>
      <w:spacing w:before="240" w:after="120" w:line="360" w:lineRule="auto"/>
      <w:outlineLvl w:val="0"/>
    </w:pPr>
    <w:rPr>
      <w:rFonts w:ascii="Times New Roman Bold;Times New" w:eastAsia="Times New Roman Bold;Times New" w:hAnsi="Times New Roman Bold;Times New" w:cs="Times New Roman Bold;Times New"/>
      <w:color w:val="000000"/>
      <w:sz w:val="28"/>
      <w:szCs w:val="28"/>
      <w:lang w:bidi="ar-SA"/>
    </w:rPr>
  </w:style>
  <w:style w:type="paragraph" w:styleId="Heading2">
    <w:name w:val="heading 2"/>
    <w:next w:val="Normal"/>
    <w:qFormat/>
    <w:pPr>
      <w:keepNext/>
      <w:keepLines/>
      <w:numPr>
        <w:ilvl w:val="1"/>
        <w:numId w:val="1"/>
      </w:numPr>
      <w:spacing w:before="40" w:after="120" w:line="360" w:lineRule="auto"/>
      <w:outlineLvl w:val="1"/>
    </w:pPr>
    <w:rPr>
      <w:rFonts w:ascii="Times New Roman Bold;Times New" w:eastAsia="Times New Roman Bold;Times New" w:hAnsi="Times New Roman Bold;Times New" w:cs="Times New Roman Bold;Times New"/>
      <w:color w:val="000000"/>
      <w:lang w:bidi="ar-SA"/>
    </w:rPr>
  </w:style>
  <w:style w:type="paragraph" w:styleId="Heading3">
    <w:name w:val="heading 3"/>
    <w:next w:val="Normal"/>
    <w:qFormat/>
    <w:pPr>
      <w:keepNext/>
      <w:keepLines/>
      <w:numPr>
        <w:ilvl w:val="2"/>
        <w:numId w:val="1"/>
      </w:numPr>
      <w:spacing w:before="40" w:after="120" w:line="360" w:lineRule="auto"/>
      <w:outlineLvl w:val="2"/>
    </w:pPr>
    <w:rPr>
      <w:rFonts w:ascii="Times New Roman" w:eastAsia="Times New Roman" w:hAnsi="Times New Roman" w:cs="Times New Roman"/>
      <w:color w:val="000000"/>
      <w:lang w:bidi="ar-SA"/>
    </w:rPr>
  </w:style>
  <w:style w:type="paragraph" w:styleId="Heading4">
    <w:name w:val="heading 4"/>
    <w:basedOn w:val="Normal"/>
    <w:next w:val="Normal"/>
    <w:qFormat/>
    <w:pPr>
      <w:keepNext/>
      <w:keepLines/>
      <w:numPr>
        <w:ilvl w:val="3"/>
        <w:numId w:val="1"/>
      </w:numPr>
      <w:spacing w:before="200" w:after="0" w:line="360" w:lineRule="auto"/>
      <w:outlineLvl w:val="3"/>
    </w:pPr>
    <w:rPr>
      <w:rFonts w:ascii="Times New Roman" w:eastAsia="Times New Roman" w:hAnsi="Times New Roman"/>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eastAsia="Arial Unicode MS"/>
      <w:b/>
      <w:bCs/>
      <w:color w:val="538135"/>
      <w:sz w:val="28"/>
      <w:szCs w:val="28"/>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Bold;Times New" w:eastAsia="Times New Roman Bold;Times New" w:hAnsi="Times New Roman Bold;Times New" w:cs="Times New Roman Bold;Times New"/>
      <w:b w:val="0"/>
      <w:bCs w:val="0"/>
      <w:i w:val="0"/>
      <w:iCs w:val="0"/>
      <w:caps w:val="0"/>
      <w:smallCaps w:val="0"/>
      <w:strike w:val="0"/>
      <w:dstrike w:val="0"/>
      <w:color w:val="000000"/>
      <w:spacing w:val="0"/>
      <w:kern w:val="0"/>
      <w:position w:val="0"/>
      <w:sz w:val="28"/>
      <w:szCs w:val="28"/>
      <w:u w:val="none" w:color="000000"/>
      <w:vertAlign w:val="baseline"/>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rPr>
  </w:style>
  <w:style w:type="character" w:customStyle="1" w:styleId="WW8Num15z2">
    <w:name w:val="WW8Num15z2"/>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Bold;Times New" w:eastAsia="Times New Roman Bold;Times New" w:hAnsi="Times New Roman Bold;Times New" w:cs="Times New Roman Bold;Times New"/>
      <w:b w:val="0"/>
      <w:bCs w:val="0"/>
      <w:i w:val="0"/>
      <w:iCs w:val="0"/>
      <w:caps w:val="0"/>
      <w:smallCaps w:val="0"/>
      <w:strike w:val="0"/>
      <w:dstrike w:val="0"/>
      <w:color w:val="000000"/>
      <w:spacing w:val="0"/>
      <w:kern w:val="0"/>
      <w:position w:val="0"/>
      <w:sz w:val="28"/>
      <w:szCs w:val="28"/>
      <w:u w:val="none" w:color="000000"/>
      <w:vertAlign w:val="baseline"/>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cs="Times New Roman"/>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cs="Times New Roman"/>
      <w:b/>
    </w:rPr>
  </w:style>
  <w:style w:type="character" w:customStyle="1" w:styleId="WW8Num25z1">
    <w:name w:val="WW8Num25z1"/>
    <w:qFormat/>
    <w:rPr>
      <w:rFonts w:cs="Times New Roman"/>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Book Antiqua" w:eastAsia="Calibri" w:hAnsi="Book Antiqua"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style>
  <w:style w:type="character" w:customStyle="1" w:styleId="WW8Num29z0">
    <w:name w:val="WW8Num29z0"/>
    <w:qFormat/>
    <w:rPr>
      <w:rFonts w:ascii="Times New Roman Bold;Times New" w:eastAsia="Times New Roman Bold;Times New" w:hAnsi="Times New Roman Bold;Times New" w:cs="Times New Roman Bold;Times New"/>
      <w:b w:val="0"/>
      <w:bCs w:val="0"/>
      <w:i w:val="0"/>
      <w:iCs w:val="0"/>
      <w:caps w:val="0"/>
      <w:smallCaps w:val="0"/>
      <w:strike w:val="0"/>
      <w:dstrike w:val="0"/>
      <w:color w:val="000000"/>
      <w:spacing w:val="0"/>
      <w:kern w:val="0"/>
      <w:position w:val="0"/>
      <w:sz w:val="28"/>
      <w:szCs w:val="28"/>
      <w:u w:val="none" w:color="000000"/>
      <w:vertAlign w:val="baseline"/>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cs="Times New Roman"/>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position w:val="0"/>
      <w:sz w:val="24"/>
      <w:vertAlign w:val="baseline"/>
      <w:lang w:val="en-US"/>
    </w:rPr>
  </w:style>
  <w:style w:type="character" w:customStyle="1" w:styleId="WW8Num36z0">
    <w:name w:val="WW8Num36z0"/>
    <w:qFormat/>
    <w:rPr>
      <w:color w:val="000000"/>
    </w:rPr>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cs="Times New Roman"/>
    </w:rPr>
  </w:style>
  <w:style w:type="character" w:customStyle="1" w:styleId="WW8Num41z1">
    <w:name w:val="WW8Num41z1"/>
    <w:qFormat/>
    <w:rPr>
      <w:rFonts w:cs="Times New Roman"/>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eastAsia="Calibri" w:cs="Arial"/>
      <w:b/>
      <w:i w:val="0"/>
      <w:color w:val="000000"/>
      <w:sz w:val="28"/>
      <w:szCs w:val="28"/>
      <w:lang w:val="en-US"/>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FootnoteTextChar">
    <w:name w:val="Footnote Text Char"/>
    <w:qFormat/>
    <w:rPr>
      <w:rFonts w:ascii="Times New Roman" w:eastAsia="SimSun;???¡ì??" w:hAnsi="Times New Roman" w:cs="Times New Roman"/>
      <w:sz w:val="20"/>
      <w:szCs w:val="20"/>
      <w:lang w:eastAsia="zh-CN" w:bidi="ar-SA"/>
    </w:rPr>
  </w:style>
  <w:style w:type="character" w:customStyle="1" w:styleId="FootnoteCharacters">
    <w:name w:val="Footnote Characters"/>
    <w:qFormat/>
    <w:rPr>
      <w:vertAlign w:val="superscript"/>
    </w:rPr>
  </w:style>
  <w:style w:type="character" w:customStyle="1" w:styleId="BalloonTextChar">
    <w:name w:val="Balloon Text Char"/>
    <w:qFormat/>
    <w:rPr>
      <w:rFonts w:ascii="Tahoma" w:hAnsi="Tahoma" w:cs="Tahoma"/>
      <w:sz w:val="16"/>
      <w:szCs w:val="20"/>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EndnoteTextChar">
    <w:name w:val="Endnote Text Char"/>
    <w:qFormat/>
    <w:rPr>
      <w:sz w:val="20"/>
      <w:szCs w:val="25"/>
    </w:rPr>
  </w:style>
  <w:style w:type="character" w:customStyle="1" w:styleId="EndnoteCharacters">
    <w:name w:val="Endnote Characters"/>
    <w:qFormat/>
    <w:rPr>
      <w:vertAlign w:val="superscript"/>
    </w:rPr>
  </w:style>
  <w:style w:type="character" w:styleId="Hyperlink">
    <w:name w:val="Hyperlink"/>
    <w:rPr>
      <w:color w:val="0000FF"/>
      <w:u w:val="single"/>
    </w:rPr>
  </w:style>
  <w:style w:type="character" w:customStyle="1" w:styleId="Style1Char">
    <w:name w:val="Style1 Char"/>
    <w:qFormat/>
    <w:rPr>
      <w:rFonts w:ascii="Calibri" w:eastAsia="Calibri" w:hAnsi="Calibri" w:cs="Vrinda"/>
      <w:szCs w:val="22"/>
      <w:lang w:bidi="ar-SA"/>
    </w:rPr>
  </w:style>
  <w:style w:type="character" w:customStyle="1" w:styleId="BodyText2Char">
    <w:name w:val="Body Text 2 Char"/>
    <w:qFormat/>
    <w:rPr>
      <w:rFonts w:ascii="Times New Roman" w:eastAsia="Times New Roman" w:hAnsi="Times New Roman" w:cs="Times New Roman"/>
      <w:sz w:val="26"/>
      <w:szCs w:val="20"/>
      <w:lang w:bidi="ar-SA"/>
    </w:rPr>
  </w:style>
  <w:style w:type="character" w:styleId="CommentReference">
    <w:name w:val="annotation reference"/>
    <w:qFormat/>
    <w:rPr>
      <w:sz w:val="16"/>
      <w:szCs w:val="16"/>
    </w:rPr>
  </w:style>
  <w:style w:type="character" w:customStyle="1" w:styleId="CommentTextChar">
    <w:name w:val="Comment Text Char"/>
    <w:qFormat/>
    <w:rPr>
      <w:sz w:val="20"/>
      <w:szCs w:val="25"/>
    </w:rPr>
  </w:style>
  <w:style w:type="character" w:customStyle="1" w:styleId="CommentSubjectChar">
    <w:name w:val="Comment Subject Char"/>
    <w:qFormat/>
    <w:rPr>
      <w:b/>
      <w:bCs/>
      <w:sz w:val="20"/>
      <w:szCs w:val="25"/>
    </w:rPr>
  </w:style>
  <w:style w:type="character" w:customStyle="1" w:styleId="apple-converted-space">
    <w:name w:val="apple-converted-space"/>
    <w:basedOn w:val="DefaultParagraphFont"/>
    <w:qFormat/>
  </w:style>
  <w:style w:type="character" w:customStyle="1" w:styleId="Mention">
    <w:name w:val="Mention"/>
    <w:qFormat/>
    <w:rPr>
      <w:color w:val="2B579A"/>
      <w:shd w:val="clear" w:color="auto" w:fill="E6E6E6"/>
    </w:rPr>
  </w:style>
  <w:style w:type="character" w:customStyle="1" w:styleId="UnresolvedMention">
    <w:name w:val="Unresolved Mention"/>
    <w:qFormat/>
    <w:rPr>
      <w:color w:val="808080"/>
      <w:shd w:val="clear" w:color="auto" w:fill="E6E6E6"/>
    </w:rPr>
  </w:style>
  <w:style w:type="character" w:customStyle="1" w:styleId="Heading1Char">
    <w:name w:val="Heading 1 Char"/>
    <w:qFormat/>
    <w:rPr>
      <w:rFonts w:ascii="Times New Roman Bold;Times New" w:eastAsia="Times New Roman Bold;Times New" w:hAnsi="Times New Roman Bold;Times New" w:cs="Times New Roman Bold;Times New"/>
      <w:color w:val="000000"/>
      <w:sz w:val="28"/>
      <w:lang w:bidi="ar-SA"/>
    </w:rPr>
  </w:style>
  <w:style w:type="character" w:customStyle="1" w:styleId="Heading2Char">
    <w:name w:val="Heading 2 Char"/>
    <w:qFormat/>
    <w:rPr>
      <w:rFonts w:ascii="Times New Roman Bold;Times New" w:eastAsia="Times New Roman Bold;Times New" w:hAnsi="Times New Roman Bold;Times New" w:cs="Times New Roman Bold;Times New"/>
      <w:color w:val="000000"/>
      <w:sz w:val="24"/>
      <w:szCs w:val="24"/>
      <w:lang w:bidi="ar-SA"/>
    </w:rPr>
  </w:style>
  <w:style w:type="character" w:customStyle="1" w:styleId="Heading3Char">
    <w:name w:val="Heading 3 Char"/>
    <w:qFormat/>
    <w:rPr>
      <w:rFonts w:ascii="Times New Roman" w:eastAsia="Times New Roman" w:hAnsi="Times New Roman" w:cs="Times New Roman"/>
      <w:color w:val="000000"/>
      <w:sz w:val="24"/>
      <w:szCs w:val="24"/>
      <w:lang w:bidi="ar-SA"/>
    </w:rPr>
  </w:style>
  <w:style w:type="character" w:customStyle="1" w:styleId="Heading4Char">
    <w:name w:val="Heading 4 Char"/>
    <w:qFormat/>
    <w:rPr>
      <w:rFonts w:ascii="Times New Roman" w:eastAsia="Times New Roman" w:hAnsi="Times New Roman" w:cs="Times New Roman"/>
      <w:bCs/>
      <w:iCs/>
      <w:sz w:val="24"/>
      <w:szCs w:val="24"/>
      <w:lang w:bidi="ar-SA"/>
    </w:rPr>
  </w:style>
  <w:style w:type="character" w:customStyle="1" w:styleId="Linkki">
    <w:name w:val="Linkki"/>
    <w:qFormat/>
    <w:rPr>
      <w:color w:val="0563C1"/>
      <w:u w:val="single" w:color="0563C1"/>
    </w:rPr>
  </w:style>
  <w:style w:type="character" w:customStyle="1" w:styleId="Hyperlink0">
    <w:name w:val="Hyperlink.0"/>
    <w:qFormat/>
    <w:rPr>
      <w:color w:val="0563C1"/>
      <w:sz w:val="22"/>
      <w:szCs w:val="22"/>
      <w:u w:val="single" w:color="0563C1"/>
      <w:lang w:val="en-US"/>
    </w:rPr>
  </w:style>
  <w:style w:type="character" w:customStyle="1" w:styleId="Hyperlink1">
    <w:name w:val="Hyperlink.1"/>
    <w:qFormat/>
    <w:rPr>
      <w:color w:val="0563C1"/>
      <w:sz w:val="22"/>
      <w:szCs w:val="22"/>
      <w:u w:val="single" w:color="0563C1"/>
    </w:rPr>
  </w:style>
  <w:style w:type="character" w:customStyle="1" w:styleId="Hyperlink2">
    <w:name w:val="Hyperlink.2"/>
    <w:qFormat/>
    <w:rPr>
      <w:color w:val="0563C1"/>
      <w:u w:val="single" w:color="0563C1"/>
      <w:lang w:val="en-US"/>
    </w:rPr>
  </w:style>
  <w:style w:type="character" w:customStyle="1" w:styleId="TitleChar">
    <w:name w:val="Title Char"/>
    <w:qFormat/>
    <w:rPr>
      <w:rFonts w:ascii="Cambria" w:eastAsia="Times New Roman" w:hAnsi="Cambria" w:cs="Times New Roman"/>
      <w:color w:val="17365D"/>
      <w:spacing w:val="5"/>
      <w:kern w:val="2"/>
      <w:sz w:val="52"/>
      <w:szCs w:val="52"/>
      <w:lang w:bidi="ar-SA"/>
    </w:rPr>
  </w:style>
  <w:style w:type="character" w:styleId="FollowedHyperlink">
    <w:name w:val="FollowedHyperlink"/>
    <w:rPr>
      <w:color w:val="800080"/>
      <w:u w:val="single"/>
    </w:rPr>
  </w:style>
  <w:style w:type="character" w:customStyle="1" w:styleId="allowtextselection">
    <w:name w:val="allowtextselection"/>
    <w:basedOn w:val="DefaultParagraphFont"/>
    <w:qFormat/>
  </w:style>
  <w:style w:type="character" w:styleId="PlaceholderText">
    <w:name w:val="Placeholder Text"/>
    <w:qFormat/>
    <w:rPr>
      <w:color w:val="808080"/>
    </w:rPr>
  </w:style>
  <w:style w:type="character" w:styleId="Emphasis">
    <w:name w:val="Emphasis"/>
    <w:qFormat/>
    <w:rPr>
      <w:i/>
      <w:iCs/>
    </w:rPr>
  </w:style>
  <w:style w:type="character" w:customStyle="1" w:styleId="hps">
    <w:name w:val="hps"/>
    <w:qFormat/>
  </w:style>
  <w:style w:type="character" w:customStyle="1" w:styleId="IntenseQuoteChar">
    <w:name w:val="Intense Quote Char"/>
    <w:qFormat/>
    <w:rPr>
      <w:i/>
      <w:iCs/>
      <w:color w:val="4472C4"/>
      <w:sz w:val="22"/>
      <w:szCs w:val="28"/>
      <w:lang w:val="en-US" w:bidi="bn-IN"/>
    </w:rPr>
  </w:style>
  <w:style w:type="character" w:customStyle="1" w:styleId="fontstyle01">
    <w:name w:val="fontstyle01"/>
    <w:qFormat/>
    <w:rPr>
      <w:rFonts w:ascii="TimesNewRomanPSMT;Arial Unicode" w:hAnsi="TimesNewRomanPSMT;Arial Unicode" w:cs="TimesNewRomanPSMT;Arial Unicode"/>
      <w:b w:val="0"/>
      <w:bCs w:val="0"/>
      <w:i w:val="0"/>
      <w:iCs w:val="0"/>
      <w:color w:val="000000"/>
      <w:sz w:val="22"/>
      <w:szCs w:val="22"/>
    </w:rPr>
  </w:style>
  <w:style w:type="character" w:customStyle="1" w:styleId="ListParagraphChar">
    <w:name w:val="List Paragraph Char"/>
    <w:qFormat/>
    <w:rPr>
      <w:sz w:val="22"/>
      <w:szCs w:val="28"/>
      <w:lang w:val="en-US" w:bidi="bn-IN"/>
    </w:rPr>
  </w:style>
  <w:style w:type="character" w:customStyle="1" w:styleId="StrongEmphasis">
    <w:name w:val="Strong Emphasis"/>
    <w:qFormat/>
    <w:rPr>
      <w:b/>
      <w:bC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Normal"/>
    <w:qFormat/>
    <w:pPr>
      <w:pBdr>
        <w:bottom w:val="single" w:sz="8" w:space="4" w:color="4F81BD"/>
      </w:pBdr>
      <w:spacing w:after="300" w:line="240" w:lineRule="auto"/>
      <w:contextualSpacing/>
    </w:pPr>
    <w:rPr>
      <w:rFonts w:ascii="Cambria" w:eastAsia="Times New Roman" w:hAnsi="Cambria" w:cs="Cambria"/>
      <w:color w:val="17365D"/>
      <w:spacing w:val="5"/>
      <w:kern w:val="2"/>
      <w:sz w:val="52"/>
      <w:szCs w:val="52"/>
      <w:lang w:bidi="ar-SA"/>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FootnoteText">
    <w:name w:val="footnote text"/>
    <w:basedOn w:val="Normal"/>
    <w:pPr>
      <w:spacing w:after="0" w:line="240" w:lineRule="auto"/>
    </w:pPr>
    <w:rPr>
      <w:rFonts w:ascii="Times New Roman" w:eastAsia="SimSun;???¡ì??" w:hAnsi="Times New Roman"/>
      <w:sz w:val="20"/>
      <w:szCs w:val="20"/>
      <w:lang w:bidi="ar-SA"/>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20"/>
    </w:rPr>
  </w:style>
  <w:style w:type="paragraph" w:styleId="Bibliography">
    <w:name w:val="Bibliography"/>
    <w:basedOn w:val="Normal"/>
    <w:next w:val="Normal"/>
    <w:qFormat/>
  </w:style>
  <w:style w:type="paragraph" w:styleId="NoSpacing">
    <w:name w:val="No Spacing"/>
    <w:qFormat/>
    <w:pPr>
      <w:jc w:val="both"/>
    </w:pPr>
    <w:rPr>
      <w:rFonts w:ascii="Calibri" w:eastAsia="Calibri" w:hAnsi="Calibri" w:cs="Times New Roman"/>
      <w:sz w:val="22"/>
      <w:szCs w:val="22"/>
      <w:lang w:bidi="ar-SA"/>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EndnoteText">
    <w:name w:val="endnote text"/>
    <w:basedOn w:val="Normal"/>
    <w:pPr>
      <w:spacing w:after="0" w:line="240" w:lineRule="auto"/>
    </w:pPr>
    <w:rPr>
      <w:sz w:val="20"/>
      <w:szCs w:val="25"/>
    </w:rPr>
  </w:style>
  <w:style w:type="paragraph" w:customStyle="1" w:styleId="Default">
    <w:name w:val="Default"/>
    <w:qFormat/>
    <w:pPr>
      <w:autoSpaceDE w:val="0"/>
    </w:pPr>
    <w:rPr>
      <w:rFonts w:ascii="Times New Roman" w:eastAsia="Calibri" w:hAnsi="Times New Roman" w:cs="Times New Roman"/>
      <w:color w:val="000000"/>
      <w:lang w:bidi="bn-IN"/>
    </w:rPr>
  </w:style>
  <w:style w:type="paragraph" w:customStyle="1" w:styleId="Style1">
    <w:name w:val="Style1"/>
    <w:basedOn w:val="NoSpacing"/>
    <w:qFormat/>
    <w:pPr>
      <w:jc w:val="left"/>
    </w:pPr>
    <w:rPr>
      <w:rFonts w:cs="Vrinda"/>
    </w:rPr>
  </w:style>
  <w:style w:type="paragraph" w:styleId="BodyText2">
    <w:name w:val="Body Text 2"/>
    <w:basedOn w:val="Normal"/>
    <w:qFormat/>
    <w:pPr>
      <w:spacing w:after="0" w:line="360" w:lineRule="auto"/>
    </w:pPr>
    <w:rPr>
      <w:rFonts w:ascii="Times New Roman" w:eastAsia="Times New Roman" w:hAnsi="Times New Roman"/>
      <w:sz w:val="26"/>
      <w:szCs w:val="20"/>
      <w:lang w:bidi="ar-SA"/>
    </w:rPr>
  </w:style>
  <w:style w:type="paragraph" w:styleId="CommentText">
    <w:name w:val="annotation text"/>
    <w:basedOn w:val="Normal"/>
    <w:qFormat/>
    <w:pPr>
      <w:spacing w:line="240" w:lineRule="auto"/>
    </w:pPr>
    <w:rPr>
      <w:sz w:val="20"/>
      <w:szCs w:val="25"/>
    </w:rPr>
  </w:style>
  <w:style w:type="paragraph" w:styleId="CommentSubject">
    <w:name w:val="annotation subject"/>
    <w:basedOn w:val="CommentText"/>
    <w:next w:val="CommentText"/>
    <w:qFormat/>
    <w:rPr>
      <w:b/>
      <w:bCs/>
    </w:rPr>
  </w:style>
  <w:style w:type="paragraph" w:customStyle="1" w:styleId="Yl-jaalaotsake">
    <w:name w:val="Ylä- ja alaotsake"/>
    <w:qFormat/>
    <w:pPr>
      <w:tabs>
        <w:tab w:val="right" w:pos="9020"/>
      </w:tabs>
    </w:pPr>
    <w:rPr>
      <w:rFonts w:ascii="Helvetica" w:eastAsia="Arial Unicode MS" w:hAnsi="Helvetica" w:cs="Arial Unicode MS"/>
      <w:color w:val="000000"/>
      <w:lang w:val="fi-FI" w:bidi="ar-SA"/>
    </w:rPr>
  </w:style>
  <w:style w:type="paragraph" w:styleId="TOCHeading">
    <w:name w:val="TOC Heading"/>
    <w:next w:val="Normal"/>
    <w:qFormat/>
    <w:pPr>
      <w:keepNext/>
      <w:keepLines/>
      <w:spacing w:before="240" w:after="120" w:line="256" w:lineRule="auto"/>
    </w:pPr>
    <w:rPr>
      <w:rFonts w:ascii="Calibri Light" w:eastAsia="Calibri Light" w:hAnsi="Calibri Light" w:cs="Calibri Light"/>
      <w:color w:val="2E74B5"/>
      <w:sz w:val="32"/>
      <w:szCs w:val="32"/>
      <w:lang w:bidi="ar-SA"/>
    </w:rPr>
  </w:style>
  <w:style w:type="paragraph" w:customStyle="1" w:styleId="TOC11">
    <w:name w:val="TOC 11"/>
    <w:qFormat/>
    <w:pPr>
      <w:tabs>
        <w:tab w:val="right" w:pos="9044"/>
      </w:tabs>
      <w:spacing w:after="100" w:line="360" w:lineRule="auto"/>
    </w:pPr>
    <w:rPr>
      <w:rFonts w:ascii="Times New Roman Bold;Times New" w:eastAsia="Times New Roman Bold;Times New" w:hAnsi="Times New Roman Bold;Times New" w:cs="Times New Roman Bold;Times New"/>
      <w:color w:val="000000"/>
      <w:sz w:val="28"/>
      <w:szCs w:val="28"/>
      <w:lang w:bidi="ar-SA"/>
    </w:rPr>
  </w:style>
  <w:style w:type="paragraph" w:customStyle="1" w:styleId="TOC21">
    <w:name w:val="TOC 21"/>
    <w:qFormat/>
    <w:pPr>
      <w:tabs>
        <w:tab w:val="right" w:pos="9044"/>
      </w:tabs>
      <w:spacing w:after="100" w:line="360" w:lineRule="auto"/>
    </w:pPr>
    <w:rPr>
      <w:rFonts w:ascii="Times New Roman Bold;Times New" w:eastAsia="Times New Roman Bold;Times New" w:hAnsi="Times New Roman Bold;Times New" w:cs="Times New Roman Bold;Times New"/>
      <w:color w:val="000000"/>
      <w:sz w:val="28"/>
      <w:szCs w:val="28"/>
      <w:lang w:val="fi-FI" w:bidi="ar-SA"/>
    </w:rPr>
  </w:style>
  <w:style w:type="paragraph" w:customStyle="1" w:styleId="TOC31">
    <w:name w:val="TOC 31"/>
    <w:qFormat/>
    <w:pPr>
      <w:tabs>
        <w:tab w:val="right" w:pos="9044"/>
      </w:tabs>
      <w:spacing w:after="100" w:line="360" w:lineRule="auto"/>
      <w:ind w:left="480"/>
    </w:pPr>
    <w:rPr>
      <w:rFonts w:ascii="Times New Roman" w:eastAsia="Times New Roman" w:hAnsi="Times New Roman" w:cs="Times New Roman"/>
      <w:color w:val="000000"/>
      <w:lang w:bidi="ar-SA"/>
    </w:rPr>
  </w:style>
  <w:style w:type="paragraph" w:styleId="TOC1">
    <w:name w:val="toc 1"/>
    <w:basedOn w:val="Normal"/>
    <w:next w:val="Normal"/>
    <w:pPr>
      <w:spacing w:before="120" w:after="0" w:line="360" w:lineRule="auto"/>
    </w:pPr>
    <w:rPr>
      <w:rFonts w:eastAsia="Arial Unicode MS" w:cs="Arial Unicode MS"/>
      <w:b/>
      <w:caps/>
      <w:color w:val="000000"/>
      <w:szCs w:val="22"/>
      <w:lang w:bidi="ar-SA"/>
    </w:rPr>
  </w:style>
  <w:style w:type="paragraph" w:styleId="TOC2">
    <w:name w:val="toc 2"/>
    <w:basedOn w:val="Normal"/>
    <w:next w:val="Normal"/>
    <w:pPr>
      <w:spacing w:after="0" w:line="360" w:lineRule="auto"/>
      <w:ind w:left="240"/>
    </w:pPr>
    <w:rPr>
      <w:rFonts w:eastAsia="Arial Unicode MS" w:cs="Arial Unicode MS"/>
      <w:smallCaps/>
      <w:color w:val="000000"/>
      <w:szCs w:val="22"/>
      <w:lang w:eastAsia="en-US" w:bidi="ar-SA"/>
    </w:rPr>
  </w:style>
  <w:style w:type="paragraph" w:styleId="TOC3">
    <w:name w:val="toc 3"/>
    <w:basedOn w:val="Normal"/>
    <w:next w:val="Normal"/>
    <w:pPr>
      <w:spacing w:after="0" w:line="360" w:lineRule="auto"/>
      <w:ind w:left="480"/>
    </w:pPr>
    <w:rPr>
      <w:rFonts w:eastAsia="Arial Unicode MS" w:cs="Arial Unicode MS"/>
      <w:i/>
      <w:color w:val="000000"/>
      <w:szCs w:val="22"/>
      <w:lang w:bidi="ar-SA"/>
    </w:rPr>
  </w:style>
  <w:style w:type="paragraph" w:styleId="TOC4">
    <w:name w:val="toc 4"/>
    <w:basedOn w:val="Normal"/>
    <w:next w:val="Normal"/>
    <w:pPr>
      <w:spacing w:after="0" w:line="360" w:lineRule="auto"/>
      <w:ind w:left="720"/>
    </w:pPr>
    <w:rPr>
      <w:rFonts w:eastAsia="Arial Unicode MS" w:cs="Arial Unicode MS"/>
      <w:color w:val="000000"/>
      <w:sz w:val="18"/>
      <w:szCs w:val="18"/>
      <w:lang w:bidi="ar-SA"/>
    </w:rPr>
  </w:style>
  <w:style w:type="paragraph" w:styleId="TOC5">
    <w:name w:val="toc 5"/>
    <w:basedOn w:val="Normal"/>
    <w:next w:val="Normal"/>
    <w:pPr>
      <w:spacing w:after="0" w:line="360" w:lineRule="auto"/>
      <w:ind w:left="960"/>
    </w:pPr>
    <w:rPr>
      <w:rFonts w:eastAsia="Arial Unicode MS" w:cs="Arial Unicode MS"/>
      <w:color w:val="000000"/>
      <w:sz w:val="18"/>
      <w:szCs w:val="18"/>
      <w:lang w:bidi="ar-SA"/>
    </w:rPr>
  </w:style>
  <w:style w:type="paragraph" w:styleId="TOC6">
    <w:name w:val="toc 6"/>
    <w:basedOn w:val="Normal"/>
    <w:next w:val="Normal"/>
    <w:pPr>
      <w:spacing w:after="0" w:line="360" w:lineRule="auto"/>
      <w:ind w:left="1200"/>
    </w:pPr>
    <w:rPr>
      <w:rFonts w:eastAsia="Arial Unicode MS" w:cs="Arial Unicode MS"/>
      <w:color w:val="000000"/>
      <w:sz w:val="18"/>
      <w:szCs w:val="18"/>
      <w:lang w:bidi="ar-SA"/>
    </w:rPr>
  </w:style>
  <w:style w:type="paragraph" w:styleId="TOC7">
    <w:name w:val="toc 7"/>
    <w:basedOn w:val="Normal"/>
    <w:next w:val="Normal"/>
    <w:pPr>
      <w:spacing w:after="0" w:line="360" w:lineRule="auto"/>
      <w:ind w:left="1440"/>
    </w:pPr>
    <w:rPr>
      <w:rFonts w:eastAsia="Arial Unicode MS" w:cs="Arial Unicode MS"/>
      <w:color w:val="000000"/>
      <w:sz w:val="18"/>
      <w:szCs w:val="18"/>
      <w:lang w:bidi="ar-SA"/>
    </w:rPr>
  </w:style>
  <w:style w:type="paragraph" w:styleId="TOC8">
    <w:name w:val="toc 8"/>
    <w:basedOn w:val="Normal"/>
    <w:next w:val="Normal"/>
    <w:pPr>
      <w:spacing w:after="0" w:line="360" w:lineRule="auto"/>
      <w:ind w:left="1680"/>
    </w:pPr>
    <w:rPr>
      <w:rFonts w:eastAsia="Arial Unicode MS" w:cs="Arial Unicode MS"/>
      <w:color w:val="000000"/>
      <w:sz w:val="18"/>
      <w:szCs w:val="18"/>
      <w:lang w:bidi="ar-SA"/>
    </w:rPr>
  </w:style>
  <w:style w:type="paragraph" w:styleId="TOC9">
    <w:name w:val="toc 9"/>
    <w:basedOn w:val="Normal"/>
    <w:next w:val="Normal"/>
    <w:pPr>
      <w:spacing w:after="0" w:line="360" w:lineRule="auto"/>
      <w:ind w:left="1920"/>
    </w:pPr>
    <w:rPr>
      <w:rFonts w:eastAsia="Arial Unicode MS" w:cs="Arial Unicode MS"/>
      <w:color w:val="000000"/>
      <w:sz w:val="18"/>
      <w:szCs w:val="18"/>
      <w:lang w:bidi="ar-SA"/>
    </w:rPr>
  </w:style>
  <w:style w:type="paragraph" w:customStyle="1" w:styleId="Alaviite">
    <w:name w:val="Alaviite"/>
    <w:qFormat/>
    <w:rPr>
      <w:rFonts w:ascii="Helvetica" w:eastAsia="Helvetica" w:hAnsi="Helvetica" w:cs="Helvetica"/>
      <w:color w:val="000000"/>
      <w:sz w:val="22"/>
      <w:szCs w:val="22"/>
      <w:lang w:val="fi-FI" w:bidi="ar-SA"/>
    </w:rPr>
  </w:style>
  <w:style w:type="paragraph" w:customStyle="1" w:styleId="Tyyli1">
    <w:name w:val="Tyyli1"/>
    <w:basedOn w:val="Heading2"/>
    <w:qFormat/>
    <w:pPr>
      <w:numPr>
        <w:ilvl w:val="0"/>
        <w:numId w:val="0"/>
      </w:numPr>
    </w:pPr>
    <w:rPr>
      <w:b/>
    </w:rPr>
  </w:style>
  <w:style w:type="paragraph" w:customStyle="1" w:styleId="Heading21">
    <w:name w:val="Heading 21"/>
    <w:basedOn w:val="Heading2"/>
    <w:qFormat/>
    <w:pPr>
      <w:numPr>
        <w:ilvl w:val="0"/>
        <w:numId w:val="0"/>
      </w:numPr>
    </w:pPr>
    <w:rPr>
      <w:b/>
    </w:rPr>
  </w:style>
  <w:style w:type="paragraph" w:customStyle="1" w:styleId="LeiptekstiA">
    <w:name w:val="Leipäteksti A"/>
    <w:qFormat/>
    <w:rPr>
      <w:rFonts w:ascii="Times New Roman" w:eastAsia="Arial Unicode MS" w:hAnsi="Times New Roman" w:cs="Arial Unicode MS"/>
      <w:color w:val="000000"/>
      <w:lang w:bidi="ar-SA"/>
    </w:rPr>
  </w:style>
  <w:style w:type="paragraph" w:styleId="Revision">
    <w:name w:val="Revision"/>
    <w:qFormat/>
    <w:rPr>
      <w:rFonts w:ascii="Times New Roman" w:eastAsia="Arial Unicode MS" w:hAnsi="Times New Roman" w:cs="Arial Unicode MS"/>
      <w:color w:val="000000"/>
      <w:lang w:bidi="ar-SA"/>
    </w:rPr>
  </w:style>
  <w:style w:type="paragraph" w:styleId="IntenseQuote">
    <w:name w:val="Intense Quote"/>
    <w:basedOn w:val="Normal"/>
    <w:next w:val="Normal"/>
    <w:qFormat/>
    <w:pPr>
      <w:pBdr>
        <w:top w:val="single" w:sz="4" w:space="10" w:color="4472C4"/>
        <w:bottom w:val="single" w:sz="4" w:space="10" w:color="4472C4"/>
      </w:pBdr>
      <w:spacing w:before="360" w:after="360"/>
      <w:ind w:left="864" w:right="864"/>
      <w:jc w:val="center"/>
    </w:pPr>
    <w:rPr>
      <w:i/>
      <w:iCs/>
      <w:color w:val="4472C4"/>
    </w:rPr>
  </w:style>
  <w:style w:type="paragraph" w:styleId="NormalWeb">
    <w:name w:val="Normal (Web)"/>
    <w:basedOn w:val="Normal"/>
    <w:qFormat/>
    <w:pPr>
      <w:spacing w:before="280" w:after="280" w:line="240" w:lineRule="auto"/>
    </w:pPr>
    <w:rPr>
      <w:rFonts w:ascii="Times New Roman" w:eastAsia="Times New Roman" w:hAnsi="Times New Roman"/>
      <w:sz w:val="24"/>
      <w:szCs w:val="24"/>
      <w:lang w:val="en-ID" w:bidi="ar-SA"/>
    </w:rPr>
  </w:style>
  <w:style w:type="paragraph" w:customStyle="1" w:styleId="Author">
    <w:name w:val="Author"/>
    <w:basedOn w:val="Normal"/>
    <w:next w:val="Normal"/>
    <w:qFormat/>
    <w:pPr>
      <w:spacing w:before="120" w:after="120"/>
      <w:jc w:val="both"/>
    </w:pPr>
    <w:rPr>
      <w:rFonts w:ascii="Times New Roman" w:hAnsi="Times New Roman"/>
      <w:i/>
      <w:sz w:val="24"/>
      <w:szCs w:val="24"/>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ufryantopuluhulawa@ung.ac.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nawatybadu0@gmail.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firdawatisalam7@gmail.com" TargetMode="External"/><Relationship Id="rId4" Type="http://schemas.openxmlformats.org/officeDocument/2006/relationships/webSettings" Target="webSettings.xml"/><Relationship Id="rId9" Type="http://schemas.openxmlformats.org/officeDocument/2006/relationships/hyperlink" Target="https://ejurnal.ung.ac.id/index.php/eslaw/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4204</Words>
  <Characters>23966</Characters>
  <Application>Microsoft Office Word</Application>
  <DocSecurity>0</DocSecurity>
  <Lines>199</Lines>
  <Paragraphs>56</Paragraphs>
  <ScaleCrop>false</ScaleCrop>
  <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Notebook</cp:lastModifiedBy>
  <cp:revision>3</cp:revision>
  <dcterms:created xsi:type="dcterms:W3CDTF">2022-08-25T07:15:00Z</dcterms:created>
  <dcterms:modified xsi:type="dcterms:W3CDTF">2022-08-25T07:20:00Z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2022-08-22T02:25:00Z</dcterms:created>
  <dc:creator>Asus</dc:creator>
  <dc:description/>
  <cp:keywords> </cp:keywords>
  <dc:language>en-US</dc:language>
  <cp:lastModifiedBy>Novira</cp:lastModifiedBy>
  <cp:lastPrinted>2021-04-16T04:24:00Z</cp:lastPrinted>
  <dcterms:modified xsi:type="dcterms:W3CDTF">2022-08-22T02:25:00Z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