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90A0" w14:textId="77777777" w:rsidR="005E5A28" w:rsidRPr="001E5E22" w:rsidRDefault="00100E6F" w:rsidP="005E5A28">
      <w:pPr>
        <w:jc w:val="center"/>
        <w:rPr>
          <w:b/>
        </w:rPr>
      </w:pPr>
      <w:r>
        <w:rPr>
          <w:b/>
        </w:rPr>
        <w:t xml:space="preserve">SELF-EFFICACY PENDERITA HIPERTENSI DI PUSKESMAS KOTA </w:t>
      </w:r>
      <w:proofErr w:type="gramStart"/>
      <w:r>
        <w:rPr>
          <w:b/>
        </w:rPr>
        <w:t>SELATAN  GORONTALO</w:t>
      </w:r>
      <w:proofErr w:type="gramEnd"/>
    </w:p>
    <w:p w14:paraId="2C5C03E5" w14:textId="77777777" w:rsidR="005E5A28" w:rsidRPr="00100E6F" w:rsidRDefault="00100E6F" w:rsidP="000801A6">
      <w:pPr>
        <w:spacing w:after="0"/>
        <w:jc w:val="center"/>
        <w:rPr>
          <w:vertAlign w:val="superscript"/>
        </w:rPr>
      </w:pPr>
      <w:r>
        <w:t>Nurdiana Djamaluddin</w:t>
      </w:r>
      <w:proofErr w:type="gramStart"/>
      <w:r>
        <w:rPr>
          <w:vertAlign w:val="superscript"/>
        </w:rPr>
        <w:t xml:space="preserve">1 </w:t>
      </w:r>
      <w:r>
        <w:t>,</w:t>
      </w:r>
      <w:proofErr w:type="gramEnd"/>
      <w:r>
        <w:t xml:space="preserve"> </w:t>
      </w:r>
      <w:r>
        <w:rPr>
          <w:vertAlign w:val="superscript"/>
        </w:rPr>
        <w:t xml:space="preserve"> </w:t>
      </w:r>
      <w:r>
        <w:t>Ita Sulistiani</w:t>
      </w:r>
      <w:r>
        <w:rPr>
          <w:vertAlign w:val="superscript"/>
        </w:rPr>
        <w:t>2</w:t>
      </w:r>
      <w:r>
        <w:t xml:space="preserve"> ,Nirwanto K. Rahim</w:t>
      </w:r>
      <w:r>
        <w:rPr>
          <w:vertAlign w:val="superscript"/>
        </w:rPr>
        <w:t xml:space="preserve">3 </w:t>
      </w:r>
      <w:r>
        <w:t>, Ahmad Aswad</w:t>
      </w:r>
      <w:r>
        <w:rPr>
          <w:vertAlign w:val="superscript"/>
        </w:rPr>
        <w:t>4</w:t>
      </w:r>
    </w:p>
    <w:p w14:paraId="610E43C1" w14:textId="77777777" w:rsidR="005C4BBC" w:rsidRDefault="00100E6F" w:rsidP="000801A6">
      <w:pPr>
        <w:spacing w:after="0"/>
        <w:jc w:val="center"/>
      </w:pPr>
      <w:r>
        <w:rPr>
          <w:vertAlign w:val="superscript"/>
        </w:rPr>
        <w:t xml:space="preserve">1,2,3 </w:t>
      </w:r>
      <w:r w:rsidR="005C4BBC">
        <w:t xml:space="preserve">Departemen Keperawatan </w:t>
      </w:r>
      <w:r>
        <w:t>Medikal Bedah</w:t>
      </w:r>
      <w:r w:rsidR="005C4BBC">
        <w:t xml:space="preserve">, Program Studi Ilmu Keperawatan, </w:t>
      </w:r>
    </w:p>
    <w:p w14:paraId="7B4A1B9A" w14:textId="77777777" w:rsidR="00100E6F" w:rsidRDefault="005C4BBC" w:rsidP="000801A6">
      <w:pPr>
        <w:spacing w:after="0"/>
        <w:jc w:val="center"/>
      </w:pPr>
      <w:r>
        <w:t>Universitas Negeri Gorontalo</w:t>
      </w:r>
    </w:p>
    <w:p w14:paraId="6511D0A3" w14:textId="77777777" w:rsidR="000801A6" w:rsidRDefault="00100E6F" w:rsidP="00100E6F">
      <w:pPr>
        <w:spacing w:after="0"/>
      </w:pPr>
      <w:r>
        <w:t xml:space="preserve">            </w:t>
      </w:r>
      <w:r>
        <w:rPr>
          <w:vertAlign w:val="superscript"/>
        </w:rPr>
        <w:t xml:space="preserve">4 </w:t>
      </w:r>
      <w:r>
        <w:t xml:space="preserve">Jurusan Keperawatan, Politekhnik Kemenkes Gorontalo </w:t>
      </w:r>
      <w:r w:rsidR="005C4BBC">
        <w:t xml:space="preserve"> </w:t>
      </w:r>
    </w:p>
    <w:p w14:paraId="36FCC8B8" w14:textId="4CD07C4C" w:rsidR="005E5A28" w:rsidRPr="005E5A28" w:rsidRDefault="005801EE" w:rsidP="000478FF">
      <w:pPr>
        <w:jc w:val="center"/>
      </w:pPr>
      <w:hyperlink r:id="rId7" w:history="1">
        <w:r w:rsidR="000478FF" w:rsidRPr="00451ECF">
          <w:rPr>
            <w:rStyle w:val="Hyperlink"/>
          </w:rPr>
          <w:t>nurdiana@ung.ac.id</w:t>
        </w:r>
      </w:hyperlink>
    </w:p>
    <w:p w14:paraId="1AACF969" w14:textId="77777777" w:rsidR="007D325F" w:rsidRDefault="00101244" w:rsidP="00101244">
      <w:pPr>
        <w:jc w:val="center"/>
        <w:rPr>
          <w:b/>
        </w:rPr>
      </w:pPr>
      <w:r>
        <w:rPr>
          <w:b/>
        </w:rPr>
        <w:t xml:space="preserve">Abstrak </w:t>
      </w:r>
    </w:p>
    <w:p w14:paraId="78E8FE51" w14:textId="77777777" w:rsidR="00A43CDF" w:rsidRPr="00A43CDF" w:rsidRDefault="00100E6F" w:rsidP="00A43CDF">
      <w:pPr>
        <w:pStyle w:val="BodyText"/>
        <w:spacing w:line="240" w:lineRule="auto"/>
        <w:ind w:left="720"/>
        <w:jc w:val="both"/>
        <w:rPr>
          <w:rFonts w:ascii="Times New Roman" w:hAnsi="Times New Roman" w:cs="Times New Roman"/>
          <w:sz w:val="20"/>
          <w:szCs w:val="20"/>
        </w:rPr>
      </w:pPr>
      <w:r w:rsidRPr="00A43CDF">
        <w:rPr>
          <w:rFonts w:ascii="Times New Roman" w:hAnsi="Times New Roman" w:cs="Times New Roman"/>
          <w:sz w:val="20"/>
          <w:szCs w:val="20"/>
        </w:rPr>
        <w:t>Prevalensi dan insidensi penyakit hipertensi semakin meningkat dan menyebabkan tingginya morbiditas dan mortalitas yang tinggi. Gorontalo merupakan Provinsi yang ikut menyumbang jumlah kumulatif kasus hipertensi. Sebagai penyakit yang dikenal dengan isitilah “</w:t>
      </w:r>
      <w:r w:rsidRPr="00A43CDF">
        <w:rPr>
          <w:rFonts w:ascii="Times New Roman" w:hAnsi="Times New Roman" w:cs="Times New Roman"/>
          <w:i/>
          <w:sz w:val="20"/>
          <w:szCs w:val="20"/>
        </w:rPr>
        <w:t>silent killer</w:t>
      </w:r>
      <w:r w:rsidRPr="00A43CDF">
        <w:rPr>
          <w:rFonts w:ascii="Times New Roman" w:hAnsi="Times New Roman" w:cs="Times New Roman"/>
          <w:sz w:val="20"/>
          <w:szCs w:val="20"/>
        </w:rPr>
        <w:t>”. Dalam upaya pengurangan komplikasi ini diperlukan kepatuhan dan kesadaran dri akan kemampuan dalam mencapai tujuan pengobatan yang kemudian lebih dikenal dengan isitilah self-efficacy.</w:t>
      </w:r>
      <w:r w:rsidR="00A43CDF" w:rsidRPr="00A43CDF">
        <w:rPr>
          <w:rFonts w:ascii="Times New Roman" w:hAnsi="Times New Roman" w:cs="Times New Roman"/>
          <w:sz w:val="20"/>
          <w:szCs w:val="20"/>
        </w:rPr>
        <w:t xml:space="preserve"> </w:t>
      </w:r>
      <w:r w:rsidRPr="00A43CDF">
        <w:rPr>
          <w:rFonts w:ascii="Times New Roman" w:hAnsi="Times New Roman" w:cs="Times New Roman"/>
          <w:sz w:val="20"/>
          <w:szCs w:val="20"/>
        </w:rPr>
        <w:t>Rancangan penelitian ini menggunakan deskriptif dimana pengukuran dengan menggambarkan variabel yang diteliti tanpa menganalisa hubungan antar variabel. Sampel yang digunakan dalam penelitian ini yakni purp</w:t>
      </w:r>
      <w:r w:rsidR="009F37F4" w:rsidRPr="00A43CDF">
        <w:rPr>
          <w:rFonts w:ascii="Times New Roman" w:hAnsi="Times New Roman" w:cs="Times New Roman"/>
          <w:sz w:val="20"/>
          <w:szCs w:val="20"/>
        </w:rPr>
        <w:t>osive sampling dengan jumlah 100</w:t>
      </w:r>
      <w:r w:rsidRPr="00A43CDF">
        <w:rPr>
          <w:rFonts w:ascii="Times New Roman" w:hAnsi="Times New Roman" w:cs="Times New Roman"/>
          <w:sz w:val="20"/>
          <w:szCs w:val="20"/>
        </w:rPr>
        <w:t xml:space="preserve"> sampel yang diambil berdasarkan kriteria sampel. Hasil peneltian</w:t>
      </w:r>
      <w:r w:rsidR="00A43CDF" w:rsidRPr="00A43CDF">
        <w:rPr>
          <w:rFonts w:ascii="Times New Roman" w:hAnsi="Times New Roman" w:cs="Times New Roman"/>
          <w:sz w:val="20"/>
          <w:szCs w:val="20"/>
        </w:rPr>
        <w:t xml:space="preserve"> didapatkan terdaat 65 responden berjenis kelamin laki-laki dan 35 responden berjensi kelamin </w:t>
      </w:r>
      <w:proofErr w:type="gramStart"/>
      <w:r w:rsidR="00A43CDF" w:rsidRPr="00A43CDF">
        <w:rPr>
          <w:rFonts w:ascii="Times New Roman" w:hAnsi="Times New Roman" w:cs="Times New Roman"/>
          <w:sz w:val="20"/>
          <w:szCs w:val="20"/>
        </w:rPr>
        <w:t>perempuan .</w:t>
      </w:r>
      <w:proofErr w:type="gramEnd"/>
      <w:r w:rsidR="00A43CDF" w:rsidRPr="00A43CDF">
        <w:rPr>
          <w:rFonts w:ascii="Times New Roman" w:hAnsi="Times New Roman" w:cs="Times New Roman"/>
          <w:sz w:val="20"/>
          <w:szCs w:val="20"/>
        </w:rPr>
        <w:t xml:space="preserve"> Pada penelitian ini juga didapatkan juga responden yang memiliki </w:t>
      </w:r>
      <w:r w:rsidR="00A43CDF" w:rsidRPr="00A43CDF">
        <w:rPr>
          <w:rFonts w:ascii="Times New Roman" w:hAnsi="Times New Roman" w:cs="Times New Roman"/>
          <w:i/>
          <w:sz w:val="20"/>
          <w:szCs w:val="20"/>
        </w:rPr>
        <w:t xml:space="preserve">self-efficacy </w:t>
      </w:r>
      <w:r w:rsidR="00A43CDF" w:rsidRPr="00A43CDF">
        <w:rPr>
          <w:rFonts w:ascii="Times New Roman" w:hAnsi="Times New Roman" w:cs="Times New Roman"/>
          <w:sz w:val="20"/>
          <w:szCs w:val="20"/>
        </w:rPr>
        <w:t>tinggi berjumlah 53, dan 47responden memiliki self-efficacy rendah. Self-efficacy memberikan kontribusi terhadap pemahaman yang lebih baik dalam proses perubahan perilaku kesehatan sehingga akan meningkatkan kemampuan seseorang dalam memahami terkait penyakit, dan memilih cara yang tepat dalam mengurangi tingkat keparahan dengan keterampilan yang terlatih.</w:t>
      </w:r>
    </w:p>
    <w:p w14:paraId="1D716D14" w14:textId="77777777" w:rsidR="00ED2CE1" w:rsidRPr="00A43CDF" w:rsidRDefault="00ED2CE1" w:rsidP="00100E6F">
      <w:pPr>
        <w:jc w:val="both"/>
        <w:rPr>
          <w:sz w:val="20"/>
          <w:szCs w:val="20"/>
        </w:rPr>
      </w:pPr>
    </w:p>
    <w:p w14:paraId="2372514A" w14:textId="77777777" w:rsidR="00700A3F" w:rsidRPr="004312AF" w:rsidRDefault="00700A3F" w:rsidP="00101244">
      <w:pPr>
        <w:jc w:val="both"/>
        <w:rPr>
          <w:sz w:val="20"/>
          <w:szCs w:val="20"/>
        </w:rPr>
      </w:pPr>
      <w:r w:rsidRPr="004312AF">
        <w:rPr>
          <w:b/>
          <w:sz w:val="20"/>
          <w:szCs w:val="20"/>
        </w:rPr>
        <w:t xml:space="preserve">Kata </w:t>
      </w:r>
      <w:proofErr w:type="gramStart"/>
      <w:r w:rsidRPr="004312AF">
        <w:rPr>
          <w:b/>
          <w:sz w:val="20"/>
          <w:szCs w:val="20"/>
        </w:rPr>
        <w:t>kunci:</w:t>
      </w:r>
      <w:r w:rsidR="005C4BBC" w:rsidRPr="004312AF">
        <w:rPr>
          <w:sz w:val="20"/>
          <w:szCs w:val="20"/>
        </w:rPr>
        <w:t>,</w:t>
      </w:r>
      <w:proofErr w:type="gramEnd"/>
      <w:r w:rsidR="005C4BBC" w:rsidRPr="004312AF">
        <w:rPr>
          <w:sz w:val="20"/>
          <w:szCs w:val="20"/>
        </w:rPr>
        <w:t xml:space="preserve"> </w:t>
      </w:r>
      <w:r w:rsidR="00100E6F">
        <w:rPr>
          <w:sz w:val="20"/>
          <w:szCs w:val="20"/>
        </w:rPr>
        <w:t>Hipertensi, self-efficacy</w:t>
      </w:r>
    </w:p>
    <w:p w14:paraId="73A5401F" w14:textId="77777777" w:rsidR="00DB43CB" w:rsidRPr="00F81057" w:rsidRDefault="00A43CDF" w:rsidP="00A43CDF">
      <w:pPr>
        <w:jc w:val="center"/>
        <w:rPr>
          <w:b/>
        </w:rPr>
      </w:pPr>
      <w:r w:rsidRPr="00F81057">
        <w:rPr>
          <w:b/>
        </w:rPr>
        <w:t>Abstract</w:t>
      </w:r>
    </w:p>
    <w:p w14:paraId="2599E6F7" w14:textId="77777777" w:rsidR="00A43CDF" w:rsidRPr="00F81057" w:rsidRDefault="00A43CDF" w:rsidP="00F81057">
      <w:pPr>
        <w:pStyle w:val="BodyText"/>
        <w:spacing w:line="240" w:lineRule="auto"/>
        <w:ind w:left="720"/>
        <w:jc w:val="both"/>
        <w:rPr>
          <w:rFonts w:ascii="Times New Roman" w:hAnsi="Times New Roman" w:cs="Times New Roman"/>
          <w:sz w:val="20"/>
          <w:szCs w:val="20"/>
        </w:rPr>
      </w:pPr>
      <w:r w:rsidRPr="00F81057">
        <w:rPr>
          <w:rFonts w:ascii="Times New Roman" w:hAnsi="Times New Roman" w:cs="Times New Roman"/>
          <w:sz w:val="20"/>
          <w:szCs w:val="20"/>
        </w:rPr>
        <w:t xml:space="preserve">The prevalence and incidence of hypertension are increasing and causing high morbidity and high mortality. Gorontalo is a province that contributes to the cumulative number of hypertension cases. As a disease known as the "silent killer". To reduce these complications, adherence, and awareness of the ability to achieve treatment goals are needed, which is then known as self-efficacy. This research design uses descriptive measurement where the measurement describes the variables studied without analyzing the relationship between variables. The sample used in this study is purposive sampling with a total of 100 samples taken based on sample criteria. The results of the study found that 65 respondents were </w:t>
      </w:r>
      <w:proofErr w:type="gramStart"/>
      <w:r w:rsidRPr="00F81057">
        <w:rPr>
          <w:rFonts w:ascii="Times New Roman" w:hAnsi="Times New Roman" w:cs="Times New Roman"/>
          <w:sz w:val="20"/>
          <w:szCs w:val="20"/>
        </w:rPr>
        <w:t>male</w:t>
      </w:r>
      <w:proofErr w:type="gramEnd"/>
      <w:r w:rsidRPr="00F81057">
        <w:rPr>
          <w:rFonts w:ascii="Times New Roman" w:hAnsi="Times New Roman" w:cs="Times New Roman"/>
          <w:sz w:val="20"/>
          <w:szCs w:val="20"/>
        </w:rPr>
        <w:t xml:space="preserve"> and 35 respondents were female. In this study, 53 respondents who had high self-efficacy were also found, and 47 respondents had low self-efficacy. Self-efficacy contributes to a better understanding of the process of health behavior change so that it will increase a person's ability to understand related diseases and choose the right way to reduce the severity with trained skills.</w:t>
      </w:r>
    </w:p>
    <w:p w14:paraId="1C3E5565" w14:textId="77777777" w:rsidR="008F4437" w:rsidRPr="00F81057" w:rsidRDefault="008F4437" w:rsidP="00F81057">
      <w:pPr>
        <w:pStyle w:val="BodyText"/>
        <w:spacing w:line="240" w:lineRule="auto"/>
        <w:ind w:left="720"/>
        <w:jc w:val="both"/>
        <w:rPr>
          <w:rFonts w:ascii="Times New Roman" w:hAnsi="Times New Roman" w:cs="Times New Roman"/>
          <w:sz w:val="20"/>
          <w:szCs w:val="20"/>
        </w:rPr>
      </w:pPr>
    </w:p>
    <w:p w14:paraId="1E5EB7FE" w14:textId="77777777" w:rsidR="00F81057" w:rsidRPr="00F81057" w:rsidRDefault="00F81057" w:rsidP="00F81057">
      <w:pPr>
        <w:jc w:val="both"/>
        <w:rPr>
          <w:sz w:val="20"/>
          <w:szCs w:val="20"/>
        </w:rPr>
      </w:pPr>
      <w:r w:rsidRPr="004312AF">
        <w:rPr>
          <w:b/>
          <w:sz w:val="20"/>
          <w:szCs w:val="20"/>
        </w:rPr>
        <w:t xml:space="preserve">Kata </w:t>
      </w:r>
      <w:proofErr w:type="gramStart"/>
      <w:r w:rsidRPr="004312AF">
        <w:rPr>
          <w:b/>
          <w:sz w:val="20"/>
          <w:szCs w:val="20"/>
        </w:rPr>
        <w:t>kunci:</w:t>
      </w:r>
      <w:r w:rsidRPr="004312AF">
        <w:rPr>
          <w:sz w:val="20"/>
          <w:szCs w:val="20"/>
        </w:rPr>
        <w:t>,</w:t>
      </w:r>
      <w:proofErr w:type="gramEnd"/>
      <w:r w:rsidRPr="004312AF">
        <w:rPr>
          <w:sz w:val="20"/>
          <w:szCs w:val="20"/>
        </w:rPr>
        <w:t xml:space="preserve"> </w:t>
      </w:r>
      <w:r>
        <w:rPr>
          <w:sz w:val="20"/>
          <w:szCs w:val="20"/>
        </w:rPr>
        <w:t xml:space="preserve">Hypertension, self-efficacy </w:t>
      </w:r>
    </w:p>
    <w:p w14:paraId="32C55CDF" w14:textId="77777777" w:rsidR="00F81057" w:rsidRDefault="00F81057" w:rsidP="00700A3F">
      <w:pPr>
        <w:jc w:val="both"/>
        <w:rPr>
          <w:b/>
        </w:rPr>
      </w:pPr>
    </w:p>
    <w:p w14:paraId="5888A96F" w14:textId="77777777" w:rsidR="00ED2CE1" w:rsidRDefault="00ED2CE1" w:rsidP="00700A3F">
      <w:pPr>
        <w:jc w:val="both"/>
      </w:pPr>
    </w:p>
    <w:p w14:paraId="3CDFA075" w14:textId="77777777" w:rsidR="00C414B5" w:rsidRDefault="00C414B5" w:rsidP="008F4437">
      <w:pPr>
        <w:jc w:val="both"/>
        <w:rPr>
          <w:b/>
        </w:rPr>
      </w:pPr>
    </w:p>
    <w:p w14:paraId="3CD176BA" w14:textId="77777777" w:rsidR="00C414B5" w:rsidRDefault="00C414B5" w:rsidP="008F4437">
      <w:pPr>
        <w:jc w:val="both"/>
        <w:rPr>
          <w:b/>
        </w:rPr>
        <w:sectPr w:rsidR="00C414B5" w:rsidSect="001E5E22">
          <w:headerReference w:type="default" r:id="rId8"/>
          <w:pgSz w:w="11907" w:h="16839" w:code="9"/>
          <w:pgMar w:top="1440" w:right="1440" w:bottom="1440" w:left="1440" w:header="720" w:footer="720" w:gutter="0"/>
          <w:cols w:space="720"/>
          <w:docGrid w:linePitch="360"/>
        </w:sectPr>
      </w:pPr>
    </w:p>
    <w:p w14:paraId="058FAA83" w14:textId="77777777" w:rsidR="00587444" w:rsidRDefault="00587444" w:rsidP="008F4437">
      <w:pPr>
        <w:jc w:val="both"/>
        <w:rPr>
          <w:b/>
        </w:rPr>
      </w:pPr>
    </w:p>
    <w:p w14:paraId="04C3AF7C" w14:textId="77777777" w:rsidR="00587444" w:rsidRDefault="00587444" w:rsidP="008F4437">
      <w:pPr>
        <w:jc w:val="both"/>
        <w:rPr>
          <w:b/>
        </w:rPr>
      </w:pPr>
    </w:p>
    <w:p w14:paraId="0DD8D9AC" w14:textId="738D09F3" w:rsidR="008F4437" w:rsidRDefault="000273B1" w:rsidP="008F4437">
      <w:pPr>
        <w:jc w:val="both"/>
        <w:rPr>
          <w:b/>
        </w:rPr>
      </w:pPr>
      <w:r w:rsidRPr="00217236">
        <w:rPr>
          <w:b/>
        </w:rPr>
        <w:lastRenderedPageBreak/>
        <w:t xml:space="preserve">Pendahuluan </w:t>
      </w:r>
    </w:p>
    <w:p w14:paraId="532366DD" w14:textId="77777777" w:rsidR="00100E6F" w:rsidRDefault="00100E6F" w:rsidP="00100E6F">
      <w:pPr>
        <w:autoSpaceDE w:val="0"/>
        <w:autoSpaceDN w:val="0"/>
        <w:adjustRightInd w:val="0"/>
        <w:spacing w:after="0" w:line="360" w:lineRule="auto"/>
        <w:ind w:firstLine="426"/>
        <w:jc w:val="both"/>
        <w:rPr>
          <w:rFonts w:cs="Times New Roman"/>
          <w:szCs w:val="24"/>
        </w:rPr>
      </w:pPr>
      <w:r>
        <w:rPr>
          <w:rFonts w:cs="Times New Roman"/>
          <w:szCs w:val="24"/>
        </w:rPr>
        <w:t xml:space="preserve">Prevalensi dan insisdensi penyakit hipertensi semakin meningkat dan masih mejadi perhatian utama karena morbiditas dan mortalitas yang tinggi. Data </w:t>
      </w:r>
      <w:r>
        <w:rPr>
          <w:rFonts w:cs="Times New Roman"/>
          <w:i/>
          <w:szCs w:val="24"/>
        </w:rPr>
        <w:t>World Health Organization</w:t>
      </w:r>
      <w:r>
        <w:rPr>
          <w:rFonts w:cs="Times New Roman"/>
          <w:szCs w:val="24"/>
        </w:rPr>
        <w:t xml:space="preserve"> (WHO) pada tahun 2015 menunjukkan bahwa terdapat 1.13 miliar orang di dunia menyandang hipertensi angka ini menunjukkan bahwa 1 dari 3 orang di dunia terdiagnosis hipertensi dan diperikirakan setiap tahunnya 10.44 juta orang meninggal akibat hipertensi </w:t>
      </w:r>
      <w:proofErr w:type="gramStart"/>
      <w:r>
        <w:rPr>
          <w:rFonts w:cs="Times New Roman"/>
          <w:szCs w:val="24"/>
        </w:rPr>
        <w:t>dan  komplikasinya</w:t>
      </w:r>
      <w:proofErr w:type="gramEnd"/>
      <w:r>
        <w:rPr>
          <w:rFonts w:cs="Times New Roman"/>
          <w:szCs w:val="24"/>
        </w:rPr>
        <w:t xml:space="preserve">.  Peningkatan kasus ini pun terjadi di seluruh dunia termasuk Indonesia. Di Indonesia berdasarkan hasil Riskesdas </w:t>
      </w:r>
      <w:r>
        <w:rPr>
          <w:rFonts w:cs="Times New Roman"/>
          <w:szCs w:val="24"/>
        </w:rPr>
        <w:fldChar w:fldCharType="begin" w:fldLock="1"/>
      </w:r>
      <w:r>
        <w:rPr>
          <w:rFonts w:cs="Times New Roman"/>
          <w:szCs w:val="24"/>
        </w:rPr>
        <w:instrText>ADDIN CSL_CITATION {"citationItems":[{"id":"ITEM-1","itemData":{"author":[{"dropping-particle":"","family":"Kementerian Kesehatan Republik Indonesia","given":"","non-dropping-particle":"","parse-names":false,"suffix":""}],"id":"ITEM-1","issued":{"date-parts":[["2018"]]},"title":"Laporan nasional RISKESDAS 2018","type":"report"},"uris":["http://www.mendeley.com/documents/?uuid=01567df4-b0df-422d-a25e-56e6f73867a7"]}],"mendeley":{"formattedCitation":"(Kementerian Kesehatan Republik Indonesia, 2018)","manualFormatting":"(2018)","plainTextFormattedCitation":"(Kementerian Kesehatan Republik Indonesia, 2018)","previouslyFormattedCitation":"(Kementerian Kesehatan Republik Indonesia, 2018)"},"properties":{"noteIndex":0},"schema":"https://github.com/citation-style-language/schema/raw/master/csl-citation.json"}</w:instrText>
      </w:r>
      <w:r>
        <w:rPr>
          <w:rFonts w:cs="Times New Roman"/>
          <w:szCs w:val="24"/>
        </w:rPr>
        <w:fldChar w:fldCharType="separate"/>
      </w:r>
      <w:r>
        <w:rPr>
          <w:rFonts w:cs="Times New Roman"/>
          <w:noProof/>
          <w:szCs w:val="24"/>
        </w:rPr>
        <w:t>(2018)</w:t>
      </w:r>
      <w:r>
        <w:rPr>
          <w:rFonts w:cs="Times New Roman"/>
          <w:szCs w:val="24"/>
        </w:rPr>
        <w:fldChar w:fldCharType="end"/>
      </w:r>
      <w:r>
        <w:rPr>
          <w:rFonts w:cs="Times New Roman"/>
          <w:szCs w:val="24"/>
        </w:rPr>
        <w:t xml:space="preserve"> prevalensi hipertensi berdasarkan diagnosis atau minum obat hipertensi didapatkan jumlah penderita sebanyak 658.201 orang, Gorontalo merupakan salah satu Provinsi yang ikut menyumbangkan angka dalam jumlah kumulatif kasus hipertensi. Berdasarkan hasil data BPS </w:t>
      </w:r>
      <w:r>
        <w:rPr>
          <w:rFonts w:cs="Times New Roman"/>
          <w:szCs w:val="24"/>
        </w:rPr>
        <w:fldChar w:fldCharType="begin" w:fldLock="1"/>
      </w:r>
      <w:r>
        <w:rPr>
          <w:rFonts w:cs="Times New Roman"/>
          <w:szCs w:val="24"/>
        </w:rPr>
        <w:instrText>ADDIN CSL_CITATION {"citationItems":[{"id":"ITEM-1","itemData":{"URL":"https://gorontalo.bps.go.id/statictable/2016/08/23/436/jumlah-kasus-10-penyakit-terbanyak-di-provinsi-gorontalo-2015-2016.html","author":[{"dropping-particle":"","family":"BPS","given":"","non-dropping-particle":"","parse-names":false,"suffix":""}],"id":"ITEM-1","issued":{"date-parts":[["2018"]]},"title":"Jumlah Kasus 10 Penyakit Terbanyak di Provinsi Gorontalo, 2015-2016","type":"webpage"},"uris":["http://www.mendeley.com/documents/?uuid=0165a4b6-3e42-4747-b1e1-dfdea55baa81"]}],"mendeley":{"formattedCitation":"(BPS, 2018)","manualFormatting":"(2018)","plainTextFormattedCitation":"(BPS, 2018)","previouslyFormattedCitation":"(BPS, 2018)"},"properties":{"noteIndex":0},"schema":"https://github.com/citation-style-language/schema/raw/master/csl-citation.json"}</w:instrText>
      </w:r>
      <w:r>
        <w:rPr>
          <w:rFonts w:cs="Times New Roman"/>
          <w:szCs w:val="24"/>
        </w:rPr>
        <w:fldChar w:fldCharType="separate"/>
      </w:r>
      <w:r>
        <w:rPr>
          <w:rFonts w:cs="Times New Roman"/>
          <w:noProof/>
          <w:szCs w:val="24"/>
        </w:rPr>
        <w:t>(2018)</w:t>
      </w:r>
      <w:r>
        <w:rPr>
          <w:rFonts w:cs="Times New Roman"/>
          <w:szCs w:val="24"/>
        </w:rPr>
        <w:fldChar w:fldCharType="end"/>
      </w:r>
      <w:r>
        <w:rPr>
          <w:rFonts w:cs="Times New Roman"/>
          <w:szCs w:val="24"/>
        </w:rPr>
        <w:t xml:space="preserve"> didapatkan bahwa hipertensi merupakan salah satu penyakit terbanyak yang diderita oleh masyarakat Gorontalo dengan estimasi sebesar 23.317 pada tahun 2015 dan mengalami pengingkatan pada tahun 2018 dengan estimasi penderita sebbnyak 7.116 orang. </w:t>
      </w:r>
    </w:p>
    <w:p w14:paraId="102DFBCA" w14:textId="77777777" w:rsidR="00100E6F" w:rsidRDefault="00100E6F" w:rsidP="00100E6F">
      <w:pPr>
        <w:autoSpaceDE w:val="0"/>
        <w:autoSpaceDN w:val="0"/>
        <w:adjustRightInd w:val="0"/>
        <w:spacing w:after="0" w:line="360" w:lineRule="auto"/>
        <w:ind w:firstLine="426"/>
        <w:jc w:val="both"/>
        <w:rPr>
          <w:rFonts w:cs="Times New Roman"/>
          <w:szCs w:val="24"/>
        </w:rPr>
      </w:pPr>
      <w:r>
        <w:rPr>
          <w:rFonts w:cs="Times New Roman"/>
          <w:szCs w:val="24"/>
        </w:rPr>
        <w:t xml:space="preserve">Peningkatan ini berdampak pada tingginya kematian dini, stroke dan penyakit jantung di dunia. Sebagai penyakit </w:t>
      </w:r>
      <w:r>
        <w:rPr>
          <w:rFonts w:cs="Times New Roman"/>
          <w:szCs w:val="24"/>
        </w:rPr>
        <w:t xml:space="preserve">yang dikenal dengan istilah “ </w:t>
      </w:r>
      <w:r>
        <w:rPr>
          <w:rFonts w:cs="Times New Roman"/>
          <w:i/>
          <w:szCs w:val="24"/>
        </w:rPr>
        <w:t>silent killer</w:t>
      </w:r>
      <w:r>
        <w:rPr>
          <w:rFonts w:cs="Times New Roman"/>
          <w:szCs w:val="24"/>
        </w:rPr>
        <w:t xml:space="preserve">” hanya kurang dari seperlima orang yang terdiagnosis hipertensi yang melakukan upaya terhadap pengendalian tekanan darah yang dimiliki seperti patuh dalam pengobatan , sehingga tidak jarang penderita akan mengalami kematian tiba-tiba diakibatkan komplikasi dari penyakit hipertensi seperti stroke, gagal ginjal dan ganggan jantung </w:t>
      </w:r>
      <w:r>
        <w:rPr>
          <w:rFonts w:cs="Times New Roman"/>
          <w:szCs w:val="24"/>
        </w:rPr>
        <w:fldChar w:fldCharType="begin" w:fldLock="1"/>
      </w:r>
      <w:r>
        <w:rPr>
          <w:rFonts w:cs="Times New Roman"/>
          <w:szCs w:val="24"/>
        </w:rPr>
        <w:instrText>ADDIN CSL_CITATION {"citationItems":[{"id":"ITEM-1","itemData":{"URL":"https://pusdatin.kemkes.go.id/resources/download/pusdatin/infodatin/infodatin-hipertensi-si-pembunuh-senyap.pdf","author":[{"dropping-particle":"","family":"Kementerian Kesehatan Republik Indonesia","given":"","non-dropping-particle":"","parse-names":false,"suffix":""}],"id":"ITEM-1","issued":{"date-parts":[["2019"]]},"title":"Hipertensi Si Pembunuh Senyap","type":"webpage"},"uris":["http://www.mendeley.com/documents/?uuid=eb2e32cb-b523-4145-891d-127d08d0368b"]}],"mendeley":{"formattedCitation":"(Kementerian Kesehatan Republik Indonesia, 2019)","plainTextFormattedCitation":"(Kementerian Kesehatan Republik Indonesia, 2019)","previouslyFormattedCitation":"(Kementerian Kesehatan Republik Indonesia, 2019)"},"properties":{"noteIndex":0},"schema":"https://github.com/citation-style-language/schema/raw/master/csl-citation.json"}</w:instrText>
      </w:r>
      <w:r>
        <w:rPr>
          <w:rFonts w:cs="Times New Roman"/>
          <w:szCs w:val="24"/>
        </w:rPr>
        <w:fldChar w:fldCharType="separate"/>
      </w:r>
      <w:r>
        <w:rPr>
          <w:rFonts w:cs="Times New Roman"/>
          <w:noProof/>
          <w:szCs w:val="24"/>
        </w:rPr>
        <w:t>(Kementerian Kesehatan Republik Indonesia, 2019)</w:t>
      </w:r>
      <w:r>
        <w:rPr>
          <w:rFonts w:cs="Times New Roman"/>
          <w:szCs w:val="24"/>
        </w:rPr>
        <w:fldChar w:fldCharType="end"/>
      </w:r>
      <w:r>
        <w:rPr>
          <w:rFonts w:cs="Times New Roman"/>
          <w:szCs w:val="24"/>
        </w:rPr>
        <w:t>.</w:t>
      </w:r>
    </w:p>
    <w:p w14:paraId="4F211D25" w14:textId="77777777" w:rsidR="00100E6F" w:rsidRDefault="00100E6F" w:rsidP="00100E6F">
      <w:pPr>
        <w:autoSpaceDE w:val="0"/>
        <w:autoSpaceDN w:val="0"/>
        <w:adjustRightInd w:val="0"/>
        <w:spacing w:after="0" w:line="360" w:lineRule="auto"/>
        <w:ind w:firstLine="426"/>
        <w:jc w:val="both"/>
        <w:rPr>
          <w:rFonts w:cs="Times New Roman"/>
          <w:i/>
          <w:szCs w:val="24"/>
        </w:rPr>
      </w:pPr>
      <w:r>
        <w:rPr>
          <w:rFonts w:eastAsia="Times New Roman" w:cs="Times New Roman"/>
          <w:szCs w:val="24"/>
        </w:rPr>
        <w:t xml:space="preserve">Dalam upaya pengurangan komplikasi ini diperlukan kepatuhan dalam pengobatan. Namun seringkali yang terjaid individu tidak patuh dalam pengobatan. </w:t>
      </w:r>
      <w:r>
        <w:rPr>
          <w:rFonts w:cs="Times New Roman"/>
          <w:szCs w:val="24"/>
        </w:rPr>
        <w:t xml:space="preserve">Ketidakpatuhan dalam pengobatan menjadi yang paling sering dilaporkan sebagai kegagalan manajemen </w:t>
      </w:r>
      <w:proofErr w:type="gramStart"/>
      <w:r>
        <w:rPr>
          <w:rFonts w:cs="Times New Roman"/>
          <w:szCs w:val="24"/>
        </w:rPr>
        <w:t>diri  dalam</w:t>
      </w:r>
      <w:proofErr w:type="gramEnd"/>
      <w:r>
        <w:rPr>
          <w:rFonts w:cs="Times New Roman"/>
          <w:szCs w:val="24"/>
        </w:rPr>
        <w:t xml:space="preserve"> pengendalian tekanan darah pada pasien hipertensi. Ketidakpatuhan terhadap pengobatan merupakan masalah kesehatan global yang pada akhirnya akan meningkatkan resiko hospitalisasi , re-hospitalisasi dan kematian dini </w:t>
      </w:r>
      <w:r>
        <w:rPr>
          <w:rFonts w:cs="Times New Roman"/>
          <w:szCs w:val="24"/>
        </w:rPr>
        <w:fldChar w:fldCharType="begin" w:fldLock="1"/>
      </w:r>
      <w:r>
        <w:rPr>
          <w:rFonts w:cs="Times New Roman"/>
          <w:szCs w:val="24"/>
        </w:rPr>
        <w:instrText>ADDIN CSL_CITATION {"citationItems":[{"id":"ITEM-1","itemData":{"author":[{"dropping-particle":"","family":"Oh","given":"Seung-won","non-dropping-particle":"","parse-names":false,"suffix":""}],"id":"ITEM-1","issued":{"date-parts":[["2021"]]},"page":"89-90","title":"Medication Adherence and Effective Management of Hypertension","type":"article-journal"},"uris":["http://www.mendeley.com/documents/?uuid=09a0a049-9ea8-4b0b-9b9e-aed95cc13c3e"]},{"id":"ITEM-2","itemData":{"DOI":"DOI 10.5001/omj.2011.38.","author":[{"dropping-particle":"","family":"Jimmy B., Jose J.","given":"","non-dropping-particle":"","parse-names":false,"suffix":""}],"container-title":"Oman Medical Journal.","id":"ITEM-2","issue":"3","issued":{"date-parts":[["2011"]]},"page":"155-159","title":"Patient Medication Adherence : Measure In Daily Practice.","type":"article-journal","volume":"26"},"uris":["http://www.mendeley.com/documents/?uuid=29f4b2ab-2666-4765-9288-7782f981c19b"]},{"id":"ITEM-3","itemData":{"URL":"www.heart.org","author":[{"dropping-particle":"","family":"American Heart Association","given":"","non-dropping-particle":"","parse-names":false,"suffix":""}],"container-title":"Advocacy Department, Washington","id":"ITEM-3","issued":{"date-parts":[["2014"]]},"title":"FACT SHEET: A Tough Pill to Swallow: Medication Adherence and Heart Disease.","type":"webpage"},"uris":["http://www.mendeley.com/documents/?uuid=18c2faa6-93ed-49ae-8622-690aff09b05e"]}],"mendeley":{"formattedCitation":"(American Heart Association, 2014; Jimmy B., Jose J., 2011; Oh, 2021)","plainTextFormattedCitation":"(American Heart Association, 2014; Jimmy B., Jose J., 2011; Oh, 2021)","previouslyFormattedCitation":"(American Heart Association, 2014; Jimmy B., Jose J., 2011; Oh, 2021)"},"properties":{"noteIndex":0},"schema":"https://github.com/citation-style-language/schema/raw/master/csl-citation.json"}</w:instrText>
      </w:r>
      <w:r>
        <w:rPr>
          <w:rFonts w:cs="Times New Roman"/>
          <w:szCs w:val="24"/>
        </w:rPr>
        <w:fldChar w:fldCharType="separate"/>
      </w:r>
      <w:r>
        <w:rPr>
          <w:rFonts w:cs="Times New Roman"/>
          <w:noProof/>
          <w:szCs w:val="24"/>
        </w:rPr>
        <w:t>(American Heart Association, 2014; Jimmy B., Jose J., 2011; Oh, 2021)</w:t>
      </w:r>
      <w:r>
        <w:rPr>
          <w:rFonts w:cs="Times New Roman"/>
          <w:szCs w:val="24"/>
        </w:rPr>
        <w:fldChar w:fldCharType="end"/>
      </w:r>
      <w:r>
        <w:rPr>
          <w:rFonts w:cs="Times New Roman"/>
          <w:szCs w:val="24"/>
        </w:rPr>
        <w:t xml:space="preserve">. Sehingga dalam mengurangi resiko komplikasi akibat ketidakpatuhan maka diperlukan upaya  dalam internal dari individu untuk mengelola gejala dan akibat dari penyakit kronis seperti pengobatan dan perawatan, aktivitas fisik, aktivitas sosial, dan </w:t>
      </w:r>
      <w:r>
        <w:rPr>
          <w:rFonts w:cs="Times New Roman"/>
          <w:szCs w:val="24"/>
        </w:rPr>
        <w:lastRenderedPageBreak/>
        <w:t xml:space="preserve">perubahan gaya hidup, serta keyakinan pasien untuk melakukan perubahan atau penyesuaian perilaku untuk mencapai tujuan pengobatan, yang kemudian istilah ini lebih dikenal dengan </w:t>
      </w:r>
      <w:r>
        <w:rPr>
          <w:rFonts w:cs="Times New Roman"/>
          <w:i/>
          <w:szCs w:val="24"/>
        </w:rPr>
        <w:t>self-efficacy</w:t>
      </w:r>
      <w:r>
        <w:rPr>
          <w:rFonts w:cs="Times New Roman"/>
          <w:i/>
          <w:szCs w:val="24"/>
        </w:rPr>
        <w:fldChar w:fldCharType="begin" w:fldLock="1"/>
      </w:r>
      <w:r>
        <w:rPr>
          <w:rFonts w:cs="Times New Roman"/>
          <w:i/>
          <w:szCs w:val="24"/>
        </w:rPr>
        <w:instrText>ADDIN CSL_CITATION {"citationItems":[{"id":"ITEM-1","itemData":{"author":[{"dropping-particle":"","family":"Kauric-Klein, Z., Peters, R. M., &amp; Yarandi","given":"","non-dropping-particle":"","parse-names":false,"suffix":""},{"dropping-particle":"","family":"H. N.","given":"","non-dropping-particle":"","parse-names":false,"suffix":""}],"container-title":"Western journal of nursing research,","id":"ITEM-1","issue":"7","issued":{"date-parts":[["2017"]]},"title":"elf-efficacy and blood pressure self-care behaviors in patients on chronic hemodialysis","type":"article-journal","volume":"39"},"uris":["http://www.mendeley.com/documents/?uuid=1823e0f4-7a5f-4799-bae0-d97bd51c341b"]},{"id":"ITEM-2","itemData":{"DOI":"10.1007/s10900-011-9410-6.The","author":[{"dropping-particle":"","family":"Warren-findlow","given":"Jan","non-dropping-particle":"","parse-names":false,"suffix":""},{"dropping-particle":"","family":"Huber","given":"Larissa R Brunner","non-dropping-particle":"","parse-names":false,"suffix":""}],"id":"ITEM-2","issue":"1","issued":{"date-parts":[["2013"]]},"page":"15-24","title":"NIH Public Access","type":"article-journal","volume":"37"},"uris":["http://www.mendeley.com/documents/?uuid=0abd1a10-bbeb-410c-b34d-fdd75adf79da"]},{"id":"ITEM-3","itemData":{"author":[{"dropping-particle":"","family":"Peñarrieta, M. I., Flores-Barrios","given":"F.","non-dropping-particle":"","parse-names":false,"suffix":""},{"dropping-particle":"","family":"Gutiérrez-Gómez, T., PiñonesMartínez, S., Resendiz-Gonzalez","given":"E.","non-dropping-particle":"","parse-names":false,"suffix":""},{"dropping-particle":"","family":"&amp; María Quintero-Valle","given":"L","non-dropping-particle":"","parse-names":false,"suffix":""}],"container-title":"Journal of Nursing Education and Practice,","id":"ITEM-3","issue":"11","issued":{"date-parts":[["2015"]]},"title":"Self-management and family support in chronic diseases.","type":"article-journal","volume":"5"},"uris":["http://www.mendeley.com/documents/?uuid=a0193446-40e2-490c-b480-93bd5f49da1c"]}],"mendeley":{"formattedCitation":"(Kauric-Klein, Z., Peters, R. M., &amp; Yarandi &amp; H. N., 2017; Peñarrieta, M. I., Flores-Barrios, Gutiérrez-Gómez, T., PiñonesMartínez, S., Resendiz-Gonzalez, &amp; &amp; María Quintero-Valle, 2015; Warren-findlow &amp; Huber, 2013)","manualFormatting":"(Kauric-Klein, Z., Peters, R. M., &amp; Yarandi &amp; H. N., 2017; Peñarrieta, M. I., Flores-Barrios, 2015; Warren-findlow &amp; Huber, 2013)","plainTextFormattedCitation":"(Kauric-Klein, Z., Peters, R. M., &amp; Yarandi &amp; H. N., 2017; Peñarrieta, M. I., Flores-Barrios, Gutiérrez-Gómez, T., PiñonesMartínez, S., Resendiz-Gonzalez, &amp; &amp; María Quintero-Valle, 2015; Warren-findlow &amp; Huber, 2013)","previouslyFormattedCitation":"(Kauric-Klein, Z., Peters, R. M., &amp; Yarandi &amp; H. N., 2017; Peñarrieta, M. I., Flores-Barrios, Gutiérrez-Gómez, T., PiñonesMartínez, S., Resendiz-Gonzalez, &amp; &amp; María Quintero-Valle, 2015; Warren-findlow &amp; Huber, 2013)"},"properties":{"noteIndex":0},"schema":"https://github.com/citation-style-language/schema/raw/master/csl-citation.json"}</w:instrText>
      </w:r>
      <w:r>
        <w:rPr>
          <w:rFonts w:cs="Times New Roman"/>
          <w:i/>
          <w:szCs w:val="24"/>
        </w:rPr>
        <w:fldChar w:fldCharType="separate"/>
      </w:r>
      <w:r>
        <w:rPr>
          <w:rFonts w:cs="Times New Roman"/>
          <w:noProof/>
          <w:szCs w:val="24"/>
        </w:rPr>
        <w:t>(Kauric-Klein, Z., Peters, R. M., &amp; Yarandi &amp; H. N., 2017; Peñarrieta, M. I., Flores-Barrios, 2015; Warren-findlow &amp; Huber, 2013)</w:t>
      </w:r>
      <w:r>
        <w:rPr>
          <w:rFonts w:cs="Times New Roman"/>
          <w:i/>
          <w:szCs w:val="24"/>
        </w:rPr>
        <w:fldChar w:fldCharType="end"/>
      </w:r>
    </w:p>
    <w:p w14:paraId="4467E716" w14:textId="77777777" w:rsidR="00100E6F" w:rsidRDefault="00100E6F" w:rsidP="00100E6F">
      <w:pPr>
        <w:autoSpaceDE w:val="0"/>
        <w:autoSpaceDN w:val="0"/>
        <w:adjustRightInd w:val="0"/>
        <w:spacing w:after="0" w:line="360" w:lineRule="auto"/>
        <w:ind w:firstLine="426"/>
        <w:jc w:val="both"/>
        <w:rPr>
          <w:rFonts w:cs="Times New Roman"/>
          <w:szCs w:val="24"/>
        </w:rPr>
      </w:pPr>
      <w:r>
        <w:rPr>
          <w:rFonts w:cs="Times New Roman"/>
          <w:i/>
          <w:szCs w:val="24"/>
        </w:rPr>
        <w:t>Self-efficacy</w:t>
      </w:r>
      <w:r>
        <w:rPr>
          <w:rFonts w:cs="Times New Roman"/>
          <w:szCs w:val="24"/>
        </w:rPr>
        <w:t xml:space="preserve"> adalah kepercayaan seseorang dalam melakukan aktivitas tertentu, termasuk kepercayaan untuk melakukan aktivitas ketika ada hambatan untuk mencapai tujuan tertentu (Kauric-Klein, Peters, &amp; Yarandi, 2017). Penelitian yang dialkukan pada tahun 2012 oleh Warren didapatkan bahwa </w:t>
      </w:r>
      <w:r>
        <w:rPr>
          <w:rFonts w:cs="Times New Roman"/>
          <w:i/>
          <w:szCs w:val="24"/>
        </w:rPr>
        <w:t>self-efficacy</w:t>
      </w:r>
      <w:r>
        <w:rPr>
          <w:rFonts w:cs="Times New Roman"/>
          <w:szCs w:val="24"/>
        </w:rPr>
        <w:t xml:space="preserve"> memliki hubungan siignifkan terhadap kepatuhan pengobatan, konsumsi diet rendah garam, beradaptasi dengan aktivitas fisik, tidak merokok dan melakukan tekhnik manajamen berat badan.  Berdasarkan hasil wawancara yang dilakukan pada 5 pasien yang melakukan kunjungan berobat di puskesmas Dungingi Kota Gorontalo, 3 orang pasien mengaku tidak meminum obat anti-hipertensi saat tidak merasakan adanya keluhan atau tanda penyakit, malas berolahrga, bahkan masih sering memakan makanan bersanta. Mereka khawatir jika terlalu sering minum obat maka akan terjadi ketergantungan </w:t>
      </w:r>
      <w:r>
        <w:rPr>
          <w:rFonts w:cs="Times New Roman"/>
          <w:szCs w:val="24"/>
        </w:rPr>
        <w:t xml:space="preserve">minum obat. 2 diantaranya mengaku kadang kupa minum obat karena sibuk bekerja dengan demikian dapat didentifikasikan bahwa keyakian yang dimiiki penderita </w:t>
      </w:r>
      <w:proofErr w:type="gramStart"/>
      <w:r>
        <w:rPr>
          <w:rFonts w:cs="Times New Roman"/>
          <w:szCs w:val="24"/>
        </w:rPr>
        <w:t>mengarah  pada</w:t>
      </w:r>
      <w:proofErr w:type="gramEnd"/>
      <w:r>
        <w:rPr>
          <w:rFonts w:cs="Times New Roman"/>
          <w:szCs w:val="24"/>
        </w:rPr>
        <w:t xml:space="preserve"> </w:t>
      </w:r>
      <w:r>
        <w:rPr>
          <w:rFonts w:cs="Times New Roman"/>
          <w:i/>
          <w:szCs w:val="24"/>
        </w:rPr>
        <w:t>self-efficacy</w:t>
      </w:r>
      <w:r>
        <w:rPr>
          <w:rFonts w:cs="Times New Roman"/>
          <w:szCs w:val="24"/>
        </w:rPr>
        <w:t xml:space="preserve"> (keyakinan diri) rendah terhadap pengobatan hipertensi, manajemen diri yang kurang, diaman jika ini berkelanjutan maka akan berpengaruh terhdap kondisi penderita.  Berdasarkan hasil ini peneliti tertarik melakukan melakukan penelitian untuk mengkaji terkait </w:t>
      </w:r>
      <w:r>
        <w:rPr>
          <w:rFonts w:cs="Times New Roman"/>
          <w:i/>
          <w:szCs w:val="24"/>
        </w:rPr>
        <w:t>self-efficacy</w:t>
      </w:r>
      <w:r>
        <w:rPr>
          <w:rFonts w:cs="Times New Roman"/>
          <w:szCs w:val="24"/>
        </w:rPr>
        <w:t xml:space="preserve"> pada penderita hipertesnsi di puskesmas Kota Gorontalo. </w:t>
      </w:r>
    </w:p>
    <w:p w14:paraId="61191E3E" w14:textId="77777777" w:rsidR="00100E6F" w:rsidRPr="00100E6F" w:rsidRDefault="00100E6F" w:rsidP="00100E6F">
      <w:pPr>
        <w:autoSpaceDE w:val="0"/>
        <w:autoSpaceDN w:val="0"/>
        <w:adjustRightInd w:val="0"/>
        <w:spacing w:after="0" w:line="360" w:lineRule="auto"/>
        <w:ind w:firstLine="426"/>
        <w:jc w:val="both"/>
        <w:rPr>
          <w:rFonts w:cs="Times New Roman"/>
          <w:szCs w:val="24"/>
        </w:rPr>
      </w:pPr>
    </w:p>
    <w:p w14:paraId="1BAA15E7" w14:textId="77777777" w:rsidR="008D2EC8" w:rsidRDefault="00BB3A2F" w:rsidP="008D2EC8">
      <w:pPr>
        <w:jc w:val="both"/>
      </w:pPr>
      <w:r>
        <w:rPr>
          <w:b/>
        </w:rPr>
        <w:t xml:space="preserve">Metode Penelitian </w:t>
      </w:r>
    </w:p>
    <w:p w14:paraId="67170F8A" w14:textId="77777777" w:rsidR="007D0950" w:rsidRPr="007D0950" w:rsidRDefault="008D2EC8" w:rsidP="00357C51">
      <w:pPr>
        <w:spacing w:line="360" w:lineRule="auto"/>
        <w:ind w:firstLine="720"/>
        <w:jc w:val="both"/>
        <w:rPr>
          <w:i/>
        </w:rPr>
      </w:pPr>
      <w:r w:rsidRPr="008D2EC8">
        <w:t xml:space="preserve">Penelitian </w:t>
      </w:r>
      <w:r>
        <w:t xml:space="preserve">ini </w:t>
      </w:r>
      <w:r w:rsidR="00100E6F">
        <w:t>me</w:t>
      </w:r>
      <w:r w:rsidR="00357C51">
        <w:t>rupakan penelitian deskriptif</w:t>
      </w:r>
      <w:r w:rsidR="007D0950">
        <w:t xml:space="preserve"> survey. Kuesioner menggunakan “</w:t>
      </w:r>
      <w:r w:rsidR="007D0950" w:rsidRPr="007D0950">
        <w:rPr>
          <w:i/>
        </w:rPr>
        <w:t>self efficacy to manage hypertension</w:t>
      </w:r>
      <w:r w:rsidR="007D0950">
        <w:rPr>
          <w:i/>
        </w:rPr>
        <w:t xml:space="preserve">”. </w:t>
      </w:r>
    </w:p>
    <w:p w14:paraId="0F23D870" w14:textId="72676F05" w:rsidR="007D0950" w:rsidRPr="008D2EC8" w:rsidRDefault="00357C51" w:rsidP="00C414B5">
      <w:pPr>
        <w:spacing w:line="360" w:lineRule="auto"/>
        <w:ind w:firstLine="720"/>
        <w:jc w:val="both"/>
      </w:pPr>
      <w:r>
        <w:t xml:space="preserve"> </w:t>
      </w:r>
      <w:r w:rsidR="00C034C4">
        <w:t>Penelitian ini melibatk</w:t>
      </w:r>
      <w:r>
        <w:t xml:space="preserve">an </w:t>
      </w:r>
      <w:proofErr w:type="gramStart"/>
      <w:r>
        <w:t xml:space="preserve">100 </w:t>
      </w:r>
      <w:r w:rsidR="008D2EC8">
        <w:t xml:space="preserve"> orang</w:t>
      </w:r>
      <w:proofErr w:type="gramEnd"/>
      <w:r w:rsidR="008D2EC8">
        <w:t xml:space="preserve"> responden </w:t>
      </w:r>
      <w:r>
        <w:t xml:space="preserve">yang berada di puskesmas kota Gorontalo yang </w:t>
      </w:r>
      <w:r w:rsidR="008D2EC8">
        <w:t xml:space="preserve">memenuhi kriteria penelitian. Teknik sampling yang digunakan adalah </w:t>
      </w:r>
      <w:r w:rsidR="007D0950">
        <w:t xml:space="preserve">purposive sampling. </w:t>
      </w:r>
      <w:r>
        <w:t>Analisis univariat digunakan unutk mendeskrips</w:t>
      </w:r>
      <w:r w:rsidR="007D0950">
        <w:t xml:space="preserve">ikan karakterisitik responde, dan </w:t>
      </w:r>
      <w:proofErr w:type="gramStart"/>
      <w:r w:rsidR="007D0950">
        <w:t>distribusi  responden</w:t>
      </w:r>
      <w:proofErr w:type="gramEnd"/>
      <w:r w:rsidR="007D0950">
        <w:t xml:space="preserve"> berdasrkan </w:t>
      </w:r>
      <w:r w:rsidR="007D0950">
        <w:rPr>
          <w:i/>
        </w:rPr>
        <w:t xml:space="preserve">self-efficacy. </w:t>
      </w:r>
      <w:r w:rsidR="00C034C4">
        <w:t xml:space="preserve">Sebelum penelitian seluruh responden akan di jelaskan tentang mekanisme penelitian dan mengisi </w:t>
      </w:r>
      <w:r w:rsidR="00C034C4" w:rsidRPr="004A3BE3">
        <w:rPr>
          <w:i/>
        </w:rPr>
        <w:t>informed concent</w:t>
      </w:r>
      <w:r w:rsidR="00C034C4">
        <w:t xml:space="preserve">. Setelah di melakukan </w:t>
      </w:r>
      <w:r w:rsidR="00C034C4">
        <w:lastRenderedPageBreak/>
        <w:t xml:space="preserve">pengisian </w:t>
      </w:r>
      <w:r w:rsidR="00C034C4" w:rsidRPr="004A3BE3">
        <w:rPr>
          <w:i/>
        </w:rPr>
        <w:t>informed concent</w:t>
      </w:r>
      <w:r w:rsidR="00C034C4">
        <w:t xml:space="preserve"> dan kuesioner seluruh responden diberikan penjelasan tentang produksi ASI. </w:t>
      </w:r>
    </w:p>
    <w:p w14:paraId="6D3306E5" w14:textId="77777777" w:rsidR="008D2EC8" w:rsidRDefault="000273B1" w:rsidP="008D2EC8">
      <w:pPr>
        <w:jc w:val="both"/>
      </w:pPr>
      <w:r w:rsidRPr="00217236">
        <w:rPr>
          <w:b/>
        </w:rPr>
        <w:t>Hasil Penelitian</w:t>
      </w:r>
      <w:r w:rsidR="004A3BE3">
        <w:rPr>
          <w:b/>
        </w:rPr>
        <w:t xml:space="preserve"> </w:t>
      </w:r>
      <w:r w:rsidR="008D2EC8">
        <w:t xml:space="preserve"> </w:t>
      </w:r>
    </w:p>
    <w:p w14:paraId="599C6099" w14:textId="77777777" w:rsidR="007D0950" w:rsidRDefault="007D0950" w:rsidP="009F37F4">
      <w:pPr>
        <w:spacing w:line="360" w:lineRule="auto"/>
        <w:ind w:firstLine="720"/>
        <w:jc w:val="both"/>
      </w:pPr>
      <w:r>
        <w:t xml:space="preserve">Sebanyak 100 </w:t>
      </w:r>
      <w:r w:rsidR="00C034C4">
        <w:t>responden telah memen</w:t>
      </w:r>
      <w:r w:rsidR="008971FD">
        <w:t>uhi kriteria penelitian</w:t>
      </w:r>
      <w:r w:rsidR="00C034C4">
        <w:t xml:space="preserve">. </w:t>
      </w:r>
      <w:r>
        <w:t xml:space="preserve">Hasil penelitian disajikan dalam bentuk table distirbusi </w:t>
      </w:r>
    </w:p>
    <w:p w14:paraId="5F32AC84" w14:textId="77777777" w:rsidR="007D0950" w:rsidRDefault="002D6BEC" w:rsidP="002D6BEC">
      <w:pPr>
        <w:spacing w:after="0"/>
        <w:jc w:val="center"/>
      </w:pPr>
      <w:r>
        <w:t xml:space="preserve">Tabel 1. Dsitribusi frekuensi dari karakteristik responden </w:t>
      </w:r>
    </w:p>
    <w:p w14:paraId="3611231D" w14:textId="77777777" w:rsidR="002D6BEC" w:rsidRDefault="007D0950" w:rsidP="002D6BEC">
      <w:pPr>
        <w:spacing w:after="0"/>
        <w:jc w:val="center"/>
        <w:rPr>
          <w:i/>
        </w:rPr>
      </w:pPr>
      <w:r>
        <w:t xml:space="preserve">berdasarkan jenis kelamin dan </w:t>
      </w:r>
      <w:r w:rsidRPr="007D0950">
        <w:rPr>
          <w:i/>
        </w:rPr>
        <w:t xml:space="preserve">self –efficacy </w:t>
      </w:r>
    </w:p>
    <w:p w14:paraId="4A7CDD3C" w14:textId="77777777" w:rsidR="007D0950" w:rsidRDefault="007D0950" w:rsidP="002D6BEC">
      <w:pPr>
        <w:spacing w:after="0"/>
        <w:jc w:val="center"/>
      </w:pPr>
    </w:p>
    <w:tbl>
      <w:tblPr>
        <w:tblW w:w="4253" w:type="dxa"/>
        <w:tblBorders>
          <w:top w:val="single" w:sz="4" w:space="0" w:color="auto"/>
          <w:bottom w:val="single" w:sz="4" w:space="0" w:color="auto"/>
        </w:tblBorders>
        <w:tblLayout w:type="fixed"/>
        <w:tblLook w:val="04A0" w:firstRow="1" w:lastRow="0" w:firstColumn="1" w:lastColumn="0" w:noHBand="0" w:noVBand="1"/>
      </w:tblPr>
      <w:tblGrid>
        <w:gridCol w:w="2178"/>
        <w:gridCol w:w="942"/>
        <w:gridCol w:w="1133"/>
      </w:tblGrid>
      <w:tr w:rsidR="002D6BEC" w14:paraId="5C6C2C4B" w14:textId="77777777" w:rsidTr="00C414B5">
        <w:tc>
          <w:tcPr>
            <w:tcW w:w="2178" w:type="dxa"/>
            <w:vMerge w:val="restart"/>
            <w:tcBorders>
              <w:top w:val="single" w:sz="4" w:space="0" w:color="auto"/>
              <w:bottom w:val="single" w:sz="4" w:space="0" w:color="auto"/>
            </w:tcBorders>
          </w:tcPr>
          <w:p w14:paraId="33402E80" w14:textId="77777777" w:rsidR="002D6BEC" w:rsidRPr="00D649DF" w:rsidRDefault="002D6BEC" w:rsidP="002D6BEC">
            <w:pPr>
              <w:tabs>
                <w:tab w:val="left" w:pos="450"/>
                <w:tab w:val="left" w:pos="1080"/>
              </w:tabs>
              <w:spacing w:after="0" w:line="240" w:lineRule="auto"/>
              <w:jc w:val="center"/>
              <w:rPr>
                <w:sz w:val="20"/>
                <w:szCs w:val="20"/>
              </w:rPr>
            </w:pPr>
            <w:r w:rsidRPr="00D649DF">
              <w:rPr>
                <w:sz w:val="20"/>
                <w:szCs w:val="20"/>
              </w:rPr>
              <w:t>Karakteristik</w:t>
            </w:r>
          </w:p>
        </w:tc>
        <w:tc>
          <w:tcPr>
            <w:tcW w:w="2075" w:type="dxa"/>
            <w:gridSpan w:val="2"/>
            <w:tcBorders>
              <w:top w:val="single" w:sz="4" w:space="0" w:color="auto"/>
              <w:bottom w:val="single" w:sz="4" w:space="0" w:color="auto"/>
            </w:tcBorders>
          </w:tcPr>
          <w:p w14:paraId="4044A6F6" w14:textId="77777777" w:rsidR="002D6BEC" w:rsidRPr="00D649DF" w:rsidRDefault="002D6BEC" w:rsidP="002D6BEC">
            <w:pPr>
              <w:tabs>
                <w:tab w:val="left" w:pos="450"/>
                <w:tab w:val="left" w:pos="1080"/>
              </w:tabs>
              <w:spacing w:after="0" w:line="240" w:lineRule="auto"/>
              <w:jc w:val="center"/>
              <w:rPr>
                <w:sz w:val="20"/>
                <w:szCs w:val="20"/>
              </w:rPr>
            </w:pPr>
            <w:r w:rsidRPr="00D649DF">
              <w:rPr>
                <w:sz w:val="20"/>
                <w:szCs w:val="20"/>
              </w:rPr>
              <w:t>N</w:t>
            </w:r>
          </w:p>
          <w:p w14:paraId="24C609A1" w14:textId="77777777" w:rsidR="002D6BEC" w:rsidRPr="00D649DF" w:rsidRDefault="009F37F4" w:rsidP="00BB3A2F">
            <w:pPr>
              <w:tabs>
                <w:tab w:val="left" w:pos="450"/>
                <w:tab w:val="left" w:pos="1080"/>
              </w:tabs>
              <w:spacing w:after="0" w:line="240" w:lineRule="auto"/>
              <w:jc w:val="center"/>
              <w:rPr>
                <w:sz w:val="20"/>
                <w:szCs w:val="20"/>
              </w:rPr>
            </w:pPr>
            <w:r>
              <w:rPr>
                <w:sz w:val="20"/>
                <w:szCs w:val="20"/>
              </w:rPr>
              <w:t xml:space="preserve"> (n=100</w:t>
            </w:r>
            <w:r w:rsidR="002D6BEC" w:rsidRPr="00D649DF">
              <w:rPr>
                <w:sz w:val="20"/>
                <w:szCs w:val="20"/>
              </w:rPr>
              <w:t>)</w:t>
            </w:r>
          </w:p>
        </w:tc>
      </w:tr>
      <w:tr w:rsidR="002D6BEC" w14:paraId="03191E8E" w14:textId="77777777" w:rsidTr="00C414B5">
        <w:tc>
          <w:tcPr>
            <w:tcW w:w="2178" w:type="dxa"/>
            <w:vMerge/>
            <w:tcBorders>
              <w:top w:val="single" w:sz="4" w:space="0" w:color="auto"/>
            </w:tcBorders>
          </w:tcPr>
          <w:p w14:paraId="3CEC2C09" w14:textId="77777777" w:rsidR="002D6BEC" w:rsidRPr="00D649DF" w:rsidRDefault="002D6BEC" w:rsidP="0005199B">
            <w:pPr>
              <w:pStyle w:val="ListParagraph"/>
              <w:tabs>
                <w:tab w:val="left" w:pos="450"/>
                <w:tab w:val="left" w:pos="1080"/>
              </w:tabs>
              <w:spacing w:after="0" w:line="240" w:lineRule="auto"/>
              <w:ind w:left="360"/>
              <w:rPr>
                <w:rFonts w:ascii="Times New Roman" w:hAnsi="Times New Roman"/>
                <w:sz w:val="20"/>
                <w:szCs w:val="20"/>
                <w:lang w:val="en-US"/>
              </w:rPr>
            </w:pPr>
          </w:p>
        </w:tc>
        <w:tc>
          <w:tcPr>
            <w:tcW w:w="942" w:type="dxa"/>
            <w:tcBorders>
              <w:top w:val="single" w:sz="4" w:space="0" w:color="auto"/>
            </w:tcBorders>
          </w:tcPr>
          <w:p w14:paraId="4B623999"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N</w:t>
            </w:r>
          </w:p>
        </w:tc>
        <w:tc>
          <w:tcPr>
            <w:tcW w:w="1133" w:type="dxa"/>
            <w:tcBorders>
              <w:top w:val="single" w:sz="4" w:space="0" w:color="auto"/>
            </w:tcBorders>
          </w:tcPr>
          <w:p w14:paraId="124884BE"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w:t>
            </w:r>
          </w:p>
        </w:tc>
      </w:tr>
      <w:tr w:rsidR="002D6BEC" w14:paraId="57042BCF" w14:textId="77777777" w:rsidTr="00C414B5">
        <w:trPr>
          <w:trHeight w:val="683"/>
        </w:trPr>
        <w:tc>
          <w:tcPr>
            <w:tcW w:w="2178" w:type="dxa"/>
          </w:tcPr>
          <w:p w14:paraId="75B5E388" w14:textId="77777777" w:rsidR="002D6BEC" w:rsidRPr="00D649DF" w:rsidRDefault="007D0950" w:rsidP="002C5727">
            <w:pPr>
              <w:tabs>
                <w:tab w:val="left" w:pos="450"/>
                <w:tab w:val="left" w:pos="1080"/>
              </w:tabs>
              <w:spacing w:after="0" w:line="240" w:lineRule="auto"/>
              <w:jc w:val="center"/>
              <w:rPr>
                <w:sz w:val="20"/>
                <w:szCs w:val="20"/>
              </w:rPr>
            </w:pPr>
            <w:r>
              <w:rPr>
                <w:sz w:val="20"/>
                <w:szCs w:val="20"/>
              </w:rPr>
              <w:t>Jenis kelamin</w:t>
            </w:r>
          </w:p>
          <w:p w14:paraId="5DE6D038" w14:textId="77777777" w:rsidR="002D6BEC" w:rsidRPr="00D649DF" w:rsidRDefault="007D0950" w:rsidP="002C5727">
            <w:pPr>
              <w:pStyle w:val="ListParagraph"/>
              <w:tabs>
                <w:tab w:val="left" w:pos="360"/>
                <w:tab w:val="left" w:pos="1080"/>
              </w:tabs>
              <w:spacing w:after="0" w:line="240" w:lineRule="auto"/>
              <w:ind w:left="360"/>
              <w:jc w:val="center"/>
              <w:rPr>
                <w:rFonts w:ascii="Times New Roman" w:hAnsi="Times New Roman"/>
                <w:sz w:val="20"/>
                <w:szCs w:val="20"/>
                <w:lang w:val="en-US"/>
              </w:rPr>
            </w:pPr>
            <w:r>
              <w:rPr>
                <w:rFonts w:ascii="Times New Roman" w:hAnsi="Times New Roman"/>
                <w:sz w:val="20"/>
                <w:szCs w:val="20"/>
                <w:lang w:val="en-US"/>
              </w:rPr>
              <w:t>Pria</w:t>
            </w:r>
          </w:p>
          <w:p w14:paraId="7ACECFD4" w14:textId="77777777" w:rsidR="002D6BEC" w:rsidRPr="007D0950" w:rsidRDefault="007D0950" w:rsidP="002C5727">
            <w:pPr>
              <w:pStyle w:val="ListParagraph"/>
              <w:tabs>
                <w:tab w:val="left" w:pos="360"/>
                <w:tab w:val="left" w:pos="1080"/>
              </w:tabs>
              <w:spacing w:after="0" w:line="240" w:lineRule="auto"/>
              <w:ind w:left="360"/>
              <w:jc w:val="center"/>
              <w:rPr>
                <w:rFonts w:ascii="Times New Roman" w:hAnsi="Times New Roman"/>
                <w:sz w:val="20"/>
                <w:szCs w:val="20"/>
                <w:lang w:val="en-US"/>
              </w:rPr>
            </w:pPr>
            <w:r>
              <w:rPr>
                <w:rFonts w:ascii="Times New Roman" w:hAnsi="Times New Roman"/>
                <w:sz w:val="20"/>
                <w:szCs w:val="20"/>
                <w:lang w:val="en-US"/>
              </w:rPr>
              <w:t>Wanita</w:t>
            </w:r>
          </w:p>
        </w:tc>
        <w:tc>
          <w:tcPr>
            <w:tcW w:w="942" w:type="dxa"/>
          </w:tcPr>
          <w:p w14:paraId="6B07EFE6" w14:textId="77777777" w:rsidR="002D6BEC" w:rsidRDefault="002D6BEC" w:rsidP="002C5727">
            <w:pPr>
              <w:tabs>
                <w:tab w:val="left" w:pos="450"/>
                <w:tab w:val="left" w:pos="1080"/>
              </w:tabs>
              <w:spacing w:after="0" w:line="240" w:lineRule="auto"/>
              <w:jc w:val="center"/>
              <w:rPr>
                <w:sz w:val="20"/>
                <w:szCs w:val="20"/>
              </w:rPr>
            </w:pPr>
          </w:p>
          <w:p w14:paraId="2A8B3C5F" w14:textId="77777777" w:rsidR="007D0950" w:rsidRDefault="009F37F4" w:rsidP="002C5727">
            <w:pPr>
              <w:tabs>
                <w:tab w:val="left" w:pos="450"/>
                <w:tab w:val="left" w:pos="1080"/>
              </w:tabs>
              <w:spacing w:after="0" w:line="240" w:lineRule="auto"/>
              <w:jc w:val="center"/>
              <w:rPr>
                <w:sz w:val="20"/>
                <w:szCs w:val="20"/>
              </w:rPr>
            </w:pPr>
            <w:r>
              <w:rPr>
                <w:sz w:val="20"/>
                <w:szCs w:val="20"/>
              </w:rPr>
              <w:t>65</w:t>
            </w:r>
          </w:p>
          <w:p w14:paraId="3A97DF0E" w14:textId="77777777" w:rsidR="007D0950" w:rsidRPr="00D649DF" w:rsidRDefault="009F37F4" w:rsidP="009F37F4">
            <w:pPr>
              <w:tabs>
                <w:tab w:val="left" w:pos="450"/>
                <w:tab w:val="left" w:pos="1080"/>
              </w:tabs>
              <w:spacing w:after="0" w:line="240" w:lineRule="auto"/>
              <w:rPr>
                <w:sz w:val="20"/>
                <w:szCs w:val="20"/>
              </w:rPr>
            </w:pPr>
            <w:r>
              <w:rPr>
                <w:sz w:val="20"/>
                <w:szCs w:val="20"/>
              </w:rPr>
              <w:t xml:space="preserve">     35</w:t>
            </w:r>
          </w:p>
        </w:tc>
        <w:tc>
          <w:tcPr>
            <w:tcW w:w="1133" w:type="dxa"/>
          </w:tcPr>
          <w:p w14:paraId="6F54EE0E" w14:textId="77777777" w:rsidR="002D6BEC" w:rsidRDefault="002D6BEC" w:rsidP="002C5727">
            <w:pPr>
              <w:tabs>
                <w:tab w:val="left" w:pos="450"/>
                <w:tab w:val="left" w:pos="1080"/>
              </w:tabs>
              <w:spacing w:after="0" w:line="240" w:lineRule="auto"/>
              <w:jc w:val="center"/>
              <w:rPr>
                <w:sz w:val="20"/>
                <w:szCs w:val="20"/>
              </w:rPr>
            </w:pPr>
          </w:p>
          <w:p w14:paraId="283D845A" w14:textId="77777777" w:rsidR="007D0950" w:rsidRDefault="009F37F4" w:rsidP="002C5727">
            <w:pPr>
              <w:tabs>
                <w:tab w:val="left" w:pos="450"/>
                <w:tab w:val="left" w:pos="1080"/>
              </w:tabs>
              <w:spacing w:after="0" w:line="240" w:lineRule="auto"/>
              <w:jc w:val="center"/>
              <w:rPr>
                <w:sz w:val="20"/>
                <w:szCs w:val="20"/>
              </w:rPr>
            </w:pPr>
            <w:r>
              <w:rPr>
                <w:sz w:val="20"/>
                <w:szCs w:val="20"/>
              </w:rPr>
              <w:t>65</w:t>
            </w:r>
          </w:p>
          <w:p w14:paraId="5B0B2E83" w14:textId="77777777" w:rsidR="009F37F4" w:rsidRPr="00D649DF" w:rsidRDefault="009F37F4" w:rsidP="002C5727">
            <w:pPr>
              <w:tabs>
                <w:tab w:val="left" w:pos="450"/>
                <w:tab w:val="left" w:pos="1080"/>
              </w:tabs>
              <w:spacing w:after="0" w:line="240" w:lineRule="auto"/>
              <w:jc w:val="center"/>
              <w:rPr>
                <w:sz w:val="20"/>
                <w:szCs w:val="20"/>
              </w:rPr>
            </w:pPr>
            <w:r>
              <w:rPr>
                <w:sz w:val="20"/>
                <w:szCs w:val="20"/>
              </w:rPr>
              <w:t>35</w:t>
            </w:r>
          </w:p>
        </w:tc>
      </w:tr>
      <w:tr w:rsidR="002D6BEC" w14:paraId="17B801C5" w14:textId="77777777" w:rsidTr="00C414B5">
        <w:tc>
          <w:tcPr>
            <w:tcW w:w="2178" w:type="dxa"/>
          </w:tcPr>
          <w:p w14:paraId="56118455" w14:textId="77777777" w:rsidR="009F37F4" w:rsidRDefault="009F37F4" w:rsidP="002C5727">
            <w:pPr>
              <w:tabs>
                <w:tab w:val="left" w:pos="450"/>
                <w:tab w:val="left" w:pos="1080"/>
              </w:tabs>
              <w:spacing w:after="0" w:line="240" w:lineRule="auto"/>
              <w:jc w:val="center"/>
              <w:rPr>
                <w:sz w:val="20"/>
                <w:szCs w:val="20"/>
              </w:rPr>
            </w:pPr>
          </w:p>
          <w:p w14:paraId="790E8C70" w14:textId="77777777" w:rsidR="009F37F4" w:rsidRDefault="009F37F4" w:rsidP="002C5727">
            <w:pPr>
              <w:tabs>
                <w:tab w:val="left" w:pos="450"/>
                <w:tab w:val="left" w:pos="1080"/>
              </w:tabs>
              <w:spacing w:after="0" w:line="240" w:lineRule="auto"/>
              <w:jc w:val="center"/>
              <w:rPr>
                <w:sz w:val="20"/>
                <w:szCs w:val="20"/>
              </w:rPr>
            </w:pPr>
          </w:p>
          <w:p w14:paraId="3E2EA38B" w14:textId="77777777" w:rsidR="002D6BEC" w:rsidRPr="00D649DF" w:rsidRDefault="002C5727" w:rsidP="002C5727">
            <w:pPr>
              <w:tabs>
                <w:tab w:val="left" w:pos="450"/>
                <w:tab w:val="left" w:pos="1080"/>
              </w:tabs>
              <w:spacing w:after="0" w:line="240" w:lineRule="auto"/>
              <w:jc w:val="center"/>
              <w:rPr>
                <w:sz w:val="20"/>
                <w:szCs w:val="20"/>
              </w:rPr>
            </w:pPr>
            <w:r>
              <w:rPr>
                <w:sz w:val="20"/>
                <w:szCs w:val="20"/>
              </w:rPr>
              <w:t>Self-efficacy</w:t>
            </w:r>
          </w:p>
          <w:p w14:paraId="1E44D2E8" w14:textId="77777777" w:rsidR="002D6BEC" w:rsidRDefault="002C5727"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Pr>
                <w:rFonts w:ascii="Times New Roman" w:hAnsi="Times New Roman"/>
                <w:sz w:val="20"/>
                <w:szCs w:val="20"/>
                <w:lang w:val="en-US"/>
              </w:rPr>
              <w:t xml:space="preserve">Self Efficacy tinggi </w:t>
            </w:r>
          </w:p>
          <w:p w14:paraId="515BC5BA" w14:textId="77777777" w:rsidR="002C5727" w:rsidRDefault="002C5727" w:rsidP="0005199B">
            <w:pPr>
              <w:pStyle w:val="ListParagraph"/>
              <w:tabs>
                <w:tab w:val="left" w:pos="450"/>
                <w:tab w:val="left" w:pos="1080"/>
              </w:tabs>
              <w:spacing w:after="0" w:line="240" w:lineRule="auto"/>
              <w:ind w:left="360"/>
              <w:jc w:val="both"/>
              <w:rPr>
                <w:rFonts w:ascii="Times New Roman" w:hAnsi="Times New Roman"/>
                <w:sz w:val="20"/>
                <w:szCs w:val="20"/>
                <w:lang w:val="en-US"/>
              </w:rPr>
            </w:pPr>
          </w:p>
          <w:p w14:paraId="48BD5A4B" w14:textId="77777777" w:rsidR="002C5727" w:rsidRPr="00D649DF" w:rsidRDefault="002C5727"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Pr>
                <w:rFonts w:ascii="Times New Roman" w:hAnsi="Times New Roman"/>
                <w:sz w:val="20"/>
                <w:szCs w:val="20"/>
                <w:lang w:val="en-US"/>
              </w:rPr>
              <w:t xml:space="preserve">Self-Efficacy rendah </w:t>
            </w:r>
          </w:p>
        </w:tc>
        <w:tc>
          <w:tcPr>
            <w:tcW w:w="942" w:type="dxa"/>
          </w:tcPr>
          <w:p w14:paraId="233DD467" w14:textId="77777777" w:rsidR="002D6BEC" w:rsidRPr="00D649DF" w:rsidRDefault="002D6BEC" w:rsidP="0005199B">
            <w:pPr>
              <w:tabs>
                <w:tab w:val="left" w:pos="450"/>
                <w:tab w:val="left" w:pos="1080"/>
              </w:tabs>
              <w:spacing w:after="0" w:line="240" w:lineRule="auto"/>
              <w:jc w:val="center"/>
              <w:rPr>
                <w:sz w:val="20"/>
                <w:szCs w:val="20"/>
              </w:rPr>
            </w:pPr>
          </w:p>
          <w:p w14:paraId="160A2F24" w14:textId="77777777" w:rsidR="009F37F4" w:rsidRDefault="009F37F4" w:rsidP="002C5727">
            <w:pPr>
              <w:tabs>
                <w:tab w:val="left" w:pos="450"/>
                <w:tab w:val="left" w:pos="1080"/>
              </w:tabs>
              <w:spacing w:after="0" w:line="240" w:lineRule="auto"/>
              <w:jc w:val="center"/>
              <w:rPr>
                <w:sz w:val="20"/>
                <w:szCs w:val="20"/>
              </w:rPr>
            </w:pPr>
          </w:p>
          <w:p w14:paraId="1FBF22A4" w14:textId="77777777" w:rsidR="002C5727" w:rsidRPr="00D649DF" w:rsidRDefault="009F37F4" w:rsidP="002C5727">
            <w:pPr>
              <w:tabs>
                <w:tab w:val="left" w:pos="450"/>
                <w:tab w:val="left" w:pos="1080"/>
              </w:tabs>
              <w:spacing w:after="0" w:line="240" w:lineRule="auto"/>
              <w:jc w:val="center"/>
              <w:rPr>
                <w:sz w:val="20"/>
                <w:szCs w:val="20"/>
              </w:rPr>
            </w:pPr>
            <w:r>
              <w:rPr>
                <w:sz w:val="20"/>
                <w:szCs w:val="20"/>
              </w:rPr>
              <w:t>53</w:t>
            </w:r>
          </w:p>
          <w:p w14:paraId="02A0A7A7" w14:textId="77777777" w:rsidR="002D6BEC" w:rsidRDefault="002D6BEC" w:rsidP="0005199B">
            <w:pPr>
              <w:tabs>
                <w:tab w:val="left" w:pos="450"/>
                <w:tab w:val="left" w:pos="1080"/>
              </w:tabs>
              <w:spacing w:after="0" w:line="240" w:lineRule="auto"/>
              <w:jc w:val="center"/>
              <w:rPr>
                <w:sz w:val="20"/>
                <w:szCs w:val="20"/>
              </w:rPr>
            </w:pPr>
          </w:p>
          <w:p w14:paraId="684C5C60" w14:textId="77777777" w:rsidR="009F37F4" w:rsidRDefault="009F37F4" w:rsidP="0005199B">
            <w:pPr>
              <w:tabs>
                <w:tab w:val="left" w:pos="450"/>
                <w:tab w:val="left" w:pos="1080"/>
              </w:tabs>
              <w:spacing w:after="0" w:line="240" w:lineRule="auto"/>
              <w:jc w:val="center"/>
              <w:rPr>
                <w:sz w:val="20"/>
                <w:szCs w:val="20"/>
              </w:rPr>
            </w:pPr>
          </w:p>
          <w:p w14:paraId="5480BD3F" w14:textId="77777777" w:rsidR="002C5727" w:rsidRPr="00D649DF" w:rsidRDefault="009F37F4" w:rsidP="0005199B">
            <w:pPr>
              <w:tabs>
                <w:tab w:val="left" w:pos="450"/>
                <w:tab w:val="left" w:pos="1080"/>
              </w:tabs>
              <w:spacing w:after="0" w:line="240" w:lineRule="auto"/>
              <w:jc w:val="center"/>
              <w:rPr>
                <w:sz w:val="20"/>
                <w:szCs w:val="20"/>
              </w:rPr>
            </w:pPr>
            <w:r>
              <w:rPr>
                <w:sz w:val="20"/>
                <w:szCs w:val="20"/>
              </w:rPr>
              <w:t>47</w:t>
            </w:r>
          </w:p>
        </w:tc>
        <w:tc>
          <w:tcPr>
            <w:tcW w:w="1133" w:type="dxa"/>
          </w:tcPr>
          <w:p w14:paraId="69E8F9B8" w14:textId="77777777" w:rsidR="002D6BEC" w:rsidRDefault="002D6BEC" w:rsidP="0005199B">
            <w:pPr>
              <w:tabs>
                <w:tab w:val="left" w:pos="450"/>
                <w:tab w:val="left" w:pos="1080"/>
              </w:tabs>
              <w:spacing w:after="0" w:line="240" w:lineRule="auto"/>
              <w:jc w:val="center"/>
              <w:rPr>
                <w:sz w:val="20"/>
                <w:szCs w:val="20"/>
              </w:rPr>
            </w:pPr>
          </w:p>
          <w:p w14:paraId="29C0EDE6" w14:textId="77777777" w:rsidR="009F37F4" w:rsidRDefault="009F37F4" w:rsidP="009F37F4">
            <w:pPr>
              <w:tabs>
                <w:tab w:val="left" w:pos="450"/>
                <w:tab w:val="left" w:pos="1080"/>
              </w:tabs>
              <w:spacing w:after="0" w:line="240" w:lineRule="auto"/>
              <w:jc w:val="center"/>
              <w:rPr>
                <w:sz w:val="20"/>
                <w:szCs w:val="20"/>
              </w:rPr>
            </w:pPr>
          </w:p>
          <w:p w14:paraId="6973532A" w14:textId="77777777" w:rsidR="002D6BEC" w:rsidRDefault="009F37F4" w:rsidP="009F37F4">
            <w:pPr>
              <w:tabs>
                <w:tab w:val="left" w:pos="450"/>
                <w:tab w:val="left" w:pos="1080"/>
              </w:tabs>
              <w:spacing w:after="0" w:line="240" w:lineRule="auto"/>
              <w:jc w:val="center"/>
              <w:rPr>
                <w:sz w:val="20"/>
                <w:szCs w:val="20"/>
              </w:rPr>
            </w:pPr>
            <w:r>
              <w:rPr>
                <w:sz w:val="20"/>
                <w:szCs w:val="20"/>
              </w:rPr>
              <w:t>53</w:t>
            </w:r>
          </w:p>
          <w:p w14:paraId="084A5E75" w14:textId="77777777" w:rsidR="009F37F4" w:rsidRDefault="009F37F4" w:rsidP="009F37F4">
            <w:pPr>
              <w:tabs>
                <w:tab w:val="left" w:pos="450"/>
                <w:tab w:val="left" w:pos="1080"/>
              </w:tabs>
              <w:spacing w:after="0" w:line="240" w:lineRule="auto"/>
              <w:jc w:val="center"/>
              <w:rPr>
                <w:sz w:val="20"/>
                <w:szCs w:val="20"/>
              </w:rPr>
            </w:pPr>
          </w:p>
          <w:p w14:paraId="28166D12" w14:textId="77777777" w:rsidR="009F37F4" w:rsidRDefault="009F37F4" w:rsidP="009F37F4">
            <w:pPr>
              <w:tabs>
                <w:tab w:val="left" w:pos="450"/>
                <w:tab w:val="left" w:pos="1080"/>
              </w:tabs>
              <w:spacing w:after="0" w:line="240" w:lineRule="auto"/>
              <w:jc w:val="center"/>
              <w:rPr>
                <w:sz w:val="20"/>
                <w:szCs w:val="20"/>
              </w:rPr>
            </w:pPr>
          </w:p>
          <w:p w14:paraId="7F6318B6" w14:textId="77777777" w:rsidR="009F37F4" w:rsidRPr="00D649DF" w:rsidRDefault="009F37F4" w:rsidP="009F37F4">
            <w:pPr>
              <w:tabs>
                <w:tab w:val="left" w:pos="450"/>
                <w:tab w:val="left" w:pos="1080"/>
              </w:tabs>
              <w:spacing w:after="0" w:line="240" w:lineRule="auto"/>
              <w:jc w:val="center"/>
              <w:rPr>
                <w:sz w:val="20"/>
                <w:szCs w:val="20"/>
              </w:rPr>
            </w:pPr>
            <w:r>
              <w:rPr>
                <w:sz w:val="20"/>
                <w:szCs w:val="20"/>
              </w:rPr>
              <w:t>47</w:t>
            </w:r>
          </w:p>
        </w:tc>
      </w:tr>
    </w:tbl>
    <w:p w14:paraId="09289B97" w14:textId="77777777" w:rsidR="00C31D96" w:rsidRPr="002D6BEC" w:rsidRDefault="00C31D96" w:rsidP="000273B1">
      <w:pPr>
        <w:jc w:val="both"/>
      </w:pPr>
    </w:p>
    <w:p w14:paraId="75E5AC18" w14:textId="77777777" w:rsidR="000273B1" w:rsidRPr="00217236" w:rsidRDefault="000273B1" w:rsidP="000273B1">
      <w:pPr>
        <w:jc w:val="both"/>
        <w:rPr>
          <w:b/>
        </w:rPr>
      </w:pPr>
      <w:r w:rsidRPr="00217236">
        <w:rPr>
          <w:b/>
        </w:rPr>
        <w:t>Pembahasan</w:t>
      </w:r>
      <w:r w:rsidR="00217236" w:rsidRPr="00217236">
        <w:rPr>
          <w:b/>
        </w:rPr>
        <w:t xml:space="preserve"> </w:t>
      </w:r>
    </w:p>
    <w:p w14:paraId="0708166C"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ini juga menunjukkan bahwa jenis kelamin laki-laki lebih banyak menderita hipertensi dibandingkan jenis kelamin perempuan. Hasil ini sejalan dengan penelitian yang dilakukan Everet dan Zajacova (2015) yang menjukkan bahwa laki-laki lebih memiliki tingkat </w:t>
      </w:r>
      <w:r>
        <w:rPr>
          <w:rFonts w:ascii="Times New Roman" w:hAnsi="Times New Roman" w:cs="Times New Roman"/>
          <w:sz w:val="24"/>
          <w:szCs w:val="24"/>
        </w:rPr>
        <w:t xml:space="preserve">hipertensi lebih tinggi daripada perempuan. Jenis kelamin merupakan salah satu faktor yang memepengaruhi tekanan darah yang tidak dapat diubah.  </w:t>
      </w:r>
      <w:proofErr w:type="gramStart"/>
      <w:r>
        <w:rPr>
          <w:rFonts w:ascii="Times New Roman" w:hAnsi="Times New Roman" w:cs="Times New Roman"/>
          <w:sz w:val="24"/>
          <w:szCs w:val="24"/>
        </w:rPr>
        <w:t>Hasil  ini</w:t>
      </w:r>
      <w:proofErr w:type="gramEnd"/>
      <w:r>
        <w:rPr>
          <w:rFonts w:ascii="Times New Roman" w:hAnsi="Times New Roman" w:cs="Times New Roman"/>
          <w:sz w:val="24"/>
          <w:szCs w:val="24"/>
        </w:rPr>
        <w:t xml:space="preserve"> didukung juga hasil yang didapatkam oleh Prasetyaningrum (2014) yang mengatakan bahwa laki-laki lebih beresiko mengalami hipertensi dibandingan perempuan saat usia &lt; 45 tahun, tetapi saat usia &gt; 65 tahun perempuan lebih beresiko mengalami hipertensi dibandingkan dengan laki-laki diakibatkan wanita memasuki masa menopasuse.  Peningkatan resiko hiperensi </w:t>
      </w:r>
      <w:proofErr w:type="gramStart"/>
      <w:r>
        <w:rPr>
          <w:rFonts w:ascii="Times New Roman" w:hAnsi="Times New Roman" w:cs="Times New Roman"/>
          <w:sz w:val="24"/>
          <w:szCs w:val="24"/>
        </w:rPr>
        <w:t>ini  berkaitan</w:t>
      </w:r>
      <w:proofErr w:type="gramEnd"/>
      <w:r>
        <w:rPr>
          <w:rFonts w:ascii="Times New Roman" w:hAnsi="Times New Roman" w:cs="Times New Roman"/>
          <w:sz w:val="24"/>
          <w:szCs w:val="24"/>
        </w:rPr>
        <w:t xml:space="preserve"> dengan faktor resiko usia yang dihubungkan dengan peningkatan peripbrelar vascular resistance (hambatan aliran darah dalam pmbulih darah perifer ) dalam arteri (Benson 2006). </w:t>
      </w:r>
    </w:p>
    <w:p w14:paraId="5C50F0E5"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Pria sering mengalami tanda-tanda hipertensi pada usia akhir tiga puluhan, sedangkan wanita sering mengalami hipertensi setelah menopause.  Hasil ini tidak sejalan dengan penelitian yang dilakukan oleh Miftahul (2019) yang menjelaskan bahwa wanita memiliki peluang sebanyak 2.7 kali </w:t>
      </w:r>
      <w:r>
        <w:rPr>
          <w:rFonts w:ascii="Times New Roman" w:hAnsi="Times New Roman" w:cs="Times New Roman"/>
          <w:sz w:val="24"/>
          <w:szCs w:val="24"/>
        </w:rPr>
        <w:lastRenderedPageBreak/>
        <w:t xml:space="preserve">untuk terkena hipertensi dibandingkan </w:t>
      </w:r>
      <w:proofErr w:type="gramStart"/>
      <w:r>
        <w:rPr>
          <w:rFonts w:ascii="Times New Roman" w:hAnsi="Times New Roman" w:cs="Times New Roman"/>
          <w:sz w:val="24"/>
          <w:szCs w:val="24"/>
        </w:rPr>
        <w:t>dengan  responden</w:t>
      </w:r>
      <w:proofErr w:type="gramEnd"/>
      <w:r>
        <w:rPr>
          <w:rFonts w:ascii="Times New Roman" w:hAnsi="Times New Roman" w:cs="Times New Roman"/>
          <w:sz w:val="24"/>
          <w:szCs w:val="24"/>
        </w:rPr>
        <w:t xml:space="preserve"> berjenis kelamin laki-laki. Wanita yang mengalami menopause merupakan salah satu faktor yang mempengaruhi kecederungan angka kejadian hieprtensi lebih tinggi daripada laki-laki.  Hal ini dikarenakan perempuan yang telah mengalami menopause memilki kadar estrogen yang rendah/ Sedangkan estrgen berfungsi untuk menigkatkan Highh density </w:t>
      </w:r>
      <w:proofErr w:type="gramStart"/>
      <w:r>
        <w:rPr>
          <w:rFonts w:ascii="Times New Roman" w:hAnsi="Times New Roman" w:cs="Times New Roman"/>
          <w:sz w:val="24"/>
          <w:szCs w:val="24"/>
        </w:rPr>
        <w:t>Lipoprotein(</w:t>
      </w:r>
      <w:proofErr w:type="gramEnd"/>
      <w:r>
        <w:rPr>
          <w:rFonts w:ascii="Times New Roman" w:hAnsi="Times New Roman" w:cs="Times New Roman"/>
          <w:sz w:val="24"/>
          <w:szCs w:val="24"/>
        </w:rPr>
        <w:t xml:space="preserve">HDL) yang sangat berpedan dalam menjaga kesehatan pembuluh darah. </w:t>
      </w:r>
    </w:p>
    <w:p w14:paraId="28365BDB"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Dalam penelitian ini didapatkan 53 atau sekitar 52 % responden memiliki </w:t>
      </w:r>
      <w:r>
        <w:rPr>
          <w:rFonts w:ascii="Times New Roman" w:hAnsi="Times New Roman" w:cs="Times New Roman"/>
          <w:i/>
          <w:sz w:val="24"/>
          <w:szCs w:val="24"/>
        </w:rPr>
        <w:t>self-efficacy</w:t>
      </w:r>
      <w:r>
        <w:rPr>
          <w:rFonts w:ascii="Times New Roman" w:hAnsi="Times New Roman" w:cs="Times New Roman"/>
          <w:sz w:val="24"/>
          <w:szCs w:val="24"/>
        </w:rPr>
        <w:t xml:space="preserve"> tinggi. Hal ini sesuai dengan penelitian yang dilakukan oleh Okatiranti et al (2017), bahwa lebih dari setengah responden memiliki </w:t>
      </w:r>
      <w:r>
        <w:rPr>
          <w:rFonts w:ascii="Times New Roman" w:hAnsi="Times New Roman" w:cs="Times New Roman"/>
          <w:i/>
          <w:sz w:val="24"/>
          <w:szCs w:val="24"/>
        </w:rPr>
        <w:t>self-efficacy</w:t>
      </w:r>
      <w:r>
        <w:rPr>
          <w:rFonts w:ascii="Times New Roman" w:hAnsi="Times New Roman" w:cs="Times New Roman"/>
          <w:sz w:val="24"/>
          <w:szCs w:val="24"/>
        </w:rPr>
        <w:t xml:space="preserve"> yang tinggi. Hal tersebut menunjukkan bahwa semakin tinggi </w:t>
      </w:r>
      <w:r>
        <w:rPr>
          <w:rFonts w:ascii="Times New Roman" w:hAnsi="Times New Roman" w:cs="Times New Roman"/>
          <w:i/>
          <w:iCs/>
          <w:sz w:val="24"/>
          <w:szCs w:val="24"/>
        </w:rPr>
        <w:t xml:space="preserve">Self-efficacy </w:t>
      </w:r>
      <w:r>
        <w:rPr>
          <w:rFonts w:ascii="Times New Roman" w:hAnsi="Times New Roman" w:cs="Times New Roman"/>
          <w:sz w:val="24"/>
          <w:szCs w:val="24"/>
        </w:rPr>
        <w:t>individu maka akan semakin baik perawatan dirinya.</w:t>
      </w:r>
    </w:p>
    <w:p w14:paraId="486EB228"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Bandura (1997) mendefinisikan</w:t>
      </w:r>
      <w:r>
        <w:rPr>
          <w:rStyle w:val="hgkelc"/>
          <w:rFonts w:ascii="Times New Roman" w:hAnsi="Times New Roman" w:cs="Times New Roman"/>
          <w:bCs/>
          <w:i/>
          <w:sz w:val="24"/>
          <w:szCs w:val="24"/>
        </w:rPr>
        <w:t xml:space="preserve"> self efficacy</w:t>
      </w:r>
      <w:r>
        <w:rPr>
          <w:rStyle w:val="hgkelc"/>
          <w:rFonts w:ascii="Times New Roman" w:hAnsi="Times New Roman" w:cs="Times New Roman"/>
          <w:sz w:val="24"/>
          <w:szCs w:val="24"/>
        </w:rPr>
        <w:t xml:space="preserve"> adalah suatu keyakinan seseorang akan kemampuannya untuk mengatur </w:t>
      </w:r>
      <w:r>
        <w:rPr>
          <w:rStyle w:val="hgkelc"/>
          <w:rFonts w:ascii="Times New Roman" w:hAnsi="Times New Roman" w:cs="Times New Roman"/>
          <w:sz w:val="24"/>
          <w:szCs w:val="24"/>
        </w:rPr>
        <w:t xml:space="preserve">dan melaksanakan serangkaian tindakan yang diperlukan untuk menyelesaikan suatu tugas tertentu. </w:t>
      </w:r>
      <w:r>
        <w:rPr>
          <w:rFonts w:ascii="Times New Roman" w:hAnsi="Times New Roman" w:cs="Times New Roman"/>
          <w:sz w:val="24"/>
          <w:szCs w:val="24"/>
        </w:rPr>
        <w:t xml:space="preserve">Perawatan diri yang efektif berarti individu memiliki rasa tanggung jawab pada dirinya dalam menjaga kesehatan dirinya sendiri (Nwine, 2011). </w:t>
      </w:r>
    </w:p>
    <w:p w14:paraId="59B57AF3"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Faktor utama dalam meningkatkan kesehatan yaitu dengan melakukan perawatan diri. Dalam menjalankan perawatan diri tersebut dalam diri individu diperlukan </w:t>
      </w:r>
      <w:r>
        <w:rPr>
          <w:rFonts w:ascii="Times New Roman" w:hAnsi="Times New Roman" w:cs="Times New Roman"/>
          <w:i/>
          <w:iCs/>
          <w:sz w:val="24"/>
          <w:szCs w:val="24"/>
        </w:rPr>
        <w:t>Self Efficacy</w:t>
      </w:r>
      <w:r>
        <w:rPr>
          <w:rFonts w:ascii="Times New Roman" w:hAnsi="Times New Roman" w:cs="Times New Roman"/>
          <w:sz w:val="24"/>
          <w:szCs w:val="24"/>
        </w:rPr>
        <w:t xml:space="preserve">.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merupakan faktor utama yang mempengaruhi perawatan diri bagi penderita penyakit kronis (Hu &amp; Arou, 2013). Sejalan dengan hasil penelitian Oktarianti et al. (2017), menyatakan bahwa ada hubungan antara </w:t>
      </w:r>
      <w:r>
        <w:rPr>
          <w:rFonts w:ascii="Times New Roman" w:hAnsi="Times New Roman" w:cs="Times New Roman"/>
          <w:i/>
          <w:sz w:val="24"/>
          <w:szCs w:val="24"/>
        </w:rPr>
        <w:t>self-efficacy</w:t>
      </w:r>
      <w:r>
        <w:rPr>
          <w:rFonts w:ascii="Times New Roman" w:hAnsi="Times New Roman" w:cs="Times New Roman"/>
          <w:sz w:val="24"/>
          <w:szCs w:val="24"/>
        </w:rPr>
        <w:t xml:space="preserve"> dengan perawatan diri lansia hipertensi sehingga lansia dapat melakukan perawatan diri. </w:t>
      </w:r>
    </w:p>
    <w:p w14:paraId="223AB4FD"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Menurut Ogedegbege (2003), Keyakinan tentang </w:t>
      </w:r>
      <w:r>
        <w:rPr>
          <w:rFonts w:ascii="Times New Roman" w:hAnsi="Times New Roman" w:cs="Times New Roman"/>
          <w:i/>
          <w:sz w:val="24"/>
          <w:szCs w:val="24"/>
        </w:rPr>
        <w:t>self-efficacy</w:t>
      </w:r>
      <w:r>
        <w:rPr>
          <w:rFonts w:ascii="Times New Roman" w:hAnsi="Times New Roman" w:cs="Times New Roman"/>
          <w:sz w:val="24"/>
          <w:szCs w:val="24"/>
        </w:rPr>
        <w:t xml:space="preserve"> akan memberikan dasar motivasi, kesejahteraan dan prestasi seseorang. </w:t>
      </w:r>
      <w:r>
        <w:rPr>
          <w:rFonts w:ascii="Times New Roman" w:hAnsi="Times New Roman" w:cs="Times New Roman"/>
          <w:i/>
          <w:sz w:val="24"/>
          <w:szCs w:val="24"/>
        </w:rPr>
        <w:t>Self efficacy</w:t>
      </w:r>
      <w:r>
        <w:rPr>
          <w:rFonts w:ascii="Times New Roman" w:hAnsi="Times New Roman" w:cs="Times New Roman"/>
          <w:sz w:val="24"/>
          <w:szCs w:val="24"/>
        </w:rPr>
        <w:t xml:space="preserve"> akan menentukan bagaimana seseorang merasa, berfikir, memotivasi dirinya dan berperilaku. </w:t>
      </w:r>
      <w:r>
        <w:rPr>
          <w:rFonts w:ascii="Times New Roman" w:hAnsi="Times New Roman" w:cs="Times New Roman"/>
          <w:i/>
          <w:sz w:val="24"/>
          <w:szCs w:val="24"/>
        </w:rPr>
        <w:t xml:space="preserve">Self </w:t>
      </w:r>
      <w:r>
        <w:rPr>
          <w:rFonts w:ascii="Times New Roman" w:hAnsi="Times New Roman" w:cs="Times New Roman"/>
          <w:i/>
          <w:sz w:val="24"/>
          <w:szCs w:val="24"/>
        </w:rPr>
        <w:lastRenderedPageBreak/>
        <w:t>efficacy</w:t>
      </w:r>
      <w:r>
        <w:rPr>
          <w:rFonts w:ascii="Times New Roman" w:hAnsi="Times New Roman" w:cs="Times New Roman"/>
          <w:sz w:val="24"/>
          <w:szCs w:val="24"/>
        </w:rPr>
        <w:t xml:space="preserve"> dianggap sebagai prediktor yang paling menonjol untuk perubahan perilaku kesehatan seperti kepatuhan terhadap pengobatan pada pasien dengan penyakit kronis, salah satunya hipertensi. </w:t>
      </w:r>
    </w:p>
    <w:p w14:paraId="413E194A"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i/>
          <w:sz w:val="24"/>
          <w:szCs w:val="24"/>
        </w:rPr>
        <w:t>Self-efficacy</w:t>
      </w:r>
      <w:r>
        <w:rPr>
          <w:rFonts w:ascii="Times New Roman" w:hAnsi="Times New Roman" w:cs="Times New Roman"/>
          <w:sz w:val="24"/>
          <w:szCs w:val="24"/>
        </w:rPr>
        <w:t xml:space="preserve"> yang berbeda-beda pada pasien hipertensi disebabkan oleh perbedaan proses </w:t>
      </w:r>
      <w:r>
        <w:rPr>
          <w:rFonts w:ascii="Times New Roman" w:hAnsi="Times New Roman" w:cs="Times New Roman"/>
          <w:i/>
          <w:sz w:val="24"/>
          <w:szCs w:val="24"/>
        </w:rPr>
        <w:t>self-efficacy</w:t>
      </w:r>
      <w:r>
        <w:rPr>
          <w:rFonts w:ascii="Times New Roman" w:hAnsi="Times New Roman" w:cs="Times New Roman"/>
          <w:sz w:val="24"/>
          <w:szCs w:val="24"/>
        </w:rPr>
        <w:t xml:space="preserve"> yang dijalani oleh s pasien hieprtensi.  Tsang, hui &amp; law (2012) menjelaskan bahwa terdapat </w:t>
      </w:r>
      <w:proofErr w:type="gramStart"/>
      <w:r>
        <w:rPr>
          <w:rFonts w:ascii="Times New Roman" w:hAnsi="Times New Roman" w:cs="Times New Roman"/>
          <w:sz w:val="24"/>
          <w:szCs w:val="24"/>
        </w:rPr>
        <w:t>empat  proses</w:t>
      </w:r>
      <w:proofErr w:type="gramEnd"/>
      <w:r>
        <w:rPr>
          <w:rFonts w:ascii="Times New Roman" w:hAnsi="Times New Roman" w:cs="Times New Roman"/>
          <w:sz w:val="24"/>
          <w:szCs w:val="24"/>
        </w:rPr>
        <w:t xml:space="preserve"> </w:t>
      </w:r>
      <w:r>
        <w:rPr>
          <w:rFonts w:ascii="Times New Roman" w:hAnsi="Times New Roman" w:cs="Times New Roman"/>
          <w:i/>
          <w:sz w:val="24"/>
          <w:szCs w:val="24"/>
        </w:rPr>
        <w:t>self-efficacy</w:t>
      </w:r>
      <w:r>
        <w:rPr>
          <w:rFonts w:ascii="Times New Roman" w:hAnsi="Times New Roman" w:cs="Times New Roman"/>
          <w:sz w:val="24"/>
          <w:szCs w:val="24"/>
        </w:rPr>
        <w:t xml:space="preserve"> yaitu proses kognitif , motivasi , efektif dan seleksi dan merupakan suatu proses yang berkesinambungan. Sebagian besar responden berdasarkan hasil kuesioner dan wawancara didapatkan mempunyai kualitas pengalaman yang kurang baik terutama dalam penyesuaian pola hidup sehingga responden tidak termotivasi untuk mengontrol tekanan darah. </w:t>
      </w:r>
    </w:p>
    <w:p w14:paraId="3824ADBA" w14:textId="051B1891" w:rsidR="009F37F4" w:rsidRPr="00C414B5" w:rsidRDefault="009F37F4" w:rsidP="00C414B5">
      <w:pPr>
        <w:pStyle w:val="BodyText"/>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Arsyita (2016) menjelaskan bahwa seseorang dengan </w:t>
      </w:r>
      <w:r>
        <w:rPr>
          <w:rFonts w:ascii="Times New Roman" w:hAnsi="Times New Roman" w:cs="Times New Roman"/>
          <w:i/>
          <w:sz w:val="24"/>
          <w:szCs w:val="24"/>
        </w:rPr>
        <w:t>sellf-efficacy</w:t>
      </w:r>
      <w:r>
        <w:rPr>
          <w:rFonts w:ascii="Times New Roman" w:hAnsi="Times New Roman" w:cs="Times New Roman"/>
          <w:sz w:val="24"/>
          <w:szCs w:val="24"/>
        </w:rPr>
        <w:t xml:space="preserve"> tinggi memiliki anggapan bahwa dirinya mampu menggunakan kemampuannya untuk mencapai suatu hasil yang baik. </w:t>
      </w:r>
      <w:r>
        <w:rPr>
          <w:rFonts w:ascii="Times New Roman" w:hAnsi="Times New Roman" w:cs="Times New Roman"/>
          <w:i/>
          <w:sz w:val="24"/>
          <w:szCs w:val="24"/>
        </w:rPr>
        <w:t>Self-efficacy</w:t>
      </w:r>
      <w:r>
        <w:rPr>
          <w:rFonts w:ascii="Times New Roman" w:hAnsi="Times New Roman" w:cs="Times New Roman"/>
          <w:sz w:val="24"/>
          <w:szCs w:val="24"/>
        </w:rPr>
        <w:t xml:space="preserve"> memberikan </w:t>
      </w:r>
      <w:r>
        <w:rPr>
          <w:rFonts w:ascii="Times New Roman" w:hAnsi="Times New Roman" w:cs="Times New Roman"/>
          <w:sz w:val="24"/>
          <w:szCs w:val="24"/>
        </w:rPr>
        <w:t xml:space="preserve">kontribusi terhadap pemahaman yang lebih baik dalam proses perubahan perilaku kesehatan sehingga akan meningkatkan kemampuan seseorang dalam memahami terkait penyakit, dan memilih cara yang tepat dalam mengurangi tingkat keparahan dengan keterampilan yang terlatih.   </w:t>
      </w:r>
    </w:p>
    <w:p w14:paraId="72298B37" w14:textId="77777777" w:rsidR="008F76E1" w:rsidRDefault="000273B1" w:rsidP="000273B1">
      <w:pPr>
        <w:jc w:val="both"/>
        <w:rPr>
          <w:b/>
        </w:rPr>
      </w:pPr>
      <w:r w:rsidRPr="00217236">
        <w:rPr>
          <w:b/>
        </w:rPr>
        <w:t>Simpulan</w:t>
      </w:r>
    </w:p>
    <w:p w14:paraId="3ECEA43B" w14:textId="77777777" w:rsidR="009F37F4" w:rsidRDefault="009F37F4" w:rsidP="009F37F4">
      <w:pPr>
        <w:pStyle w:val="BodyText"/>
        <w:spacing w:line="360" w:lineRule="auto"/>
        <w:ind w:left="709" w:firstLine="709"/>
        <w:jc w:val="both"/>
        <w:rPr>
          <w:rFonts w:ascii="Times New Roman" w:hAnsi="Times New Roman" w:cs="Times New Roman"/>
          <w:sz w:val="24"/>
          <w:szCs w:val="24"/>
        </w:rPr>
      </w:pPr>
      <w:r w:rsidRPr="009F37F4">
        <w:rPr>
          <w:rFonts w:ascii="Times New Roman" w:hAnsi="Times New Roman" w:cs="Times New Roman"/>
          <w:i/>
          <w:sz w:val="24"/>
          <w:szCs w:val="24"/>
        </w:rPr>
        <w:t>Self-efficacy</w:t>
      </w:r>
      <w:r>
        <w:rPr>
          <w:rFonts w:ascii="Times New Roman" w:hAnsi="Times New Roman" w:cs="Times New Roman"/>
          <w:sz w:val="24"/>
          <w:szCs w:val="24"/>
        </w:rPr>
        <w:t xml:space="preserve"> memberikan kontribusi terhadap pemahaman yang lebih baik dalam proses perubahan perilaku kesehatan sehingga akan meningkatkan kemampuan seseorang dalam memahami terkait penyakit, dan memilih cara yang tepat dalam mengurangi tingkat keparahan dengan keterampilan yang terlatih</w:t>
      </w:r>
    </w:p>
    <w:p w14:paraId="187F50F7" w14:textId="77777777" w:rsidR="00217236" w:rsidRPr="00217236" w:rsidRDefault="00217236" w:rsidP="00217236">
      <w:pPr>
        <w:jc w:val="both"/>
        <w:rPr>
          <w:b/>
        </w:rPr>
      </w:pPr>
      <w:r w:rsidRPr="00217236">
        <w:rPr>
          <w:b/>
        </w:rPr>
        <w:t>Daftar Pustaka</w:t>
      </w:r>
      <w:r>
        <w:rPr>
          <w:b/>
        </w:rPr>
        <w:t xml:space="preserve"> </w:t>
      </w:r>
    </w:p>
    <w:p w14:paraId="6751CBED"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szCs w:val="24"/>
        </w:rPr>
        <w:fldChar w:fldCharType="begin" w:fldLock="1"/>
      </w:r>
      <w:r>
        <w:rPr>
          <w:rFonts w:cs="Times New Roman"/>
          <w:szCs w:val="24"/>
        </w:rPr>
        <w:instrText xml:space="preserve">ADDIN Mendeley Bibliography CSL_BIBLIOGRAPHY </w:instrText>
      </w:r>
      <w:r>
        <w:rPr>
          <w:rFonts w:cs="Times New Roman"/>
          <w:szCs w:val="24"/>
        </w:rPr>
        <w:fldChar w:fldCharType="separate"/>
      </w:r>
      <w:r>
        <w:rPr>
          <w:rFonts w:cs="Times New Roman"/>
          <w:noProof/>
          <w:szCs w:val="24"/>
        </w:rPr>
        <w:t>American Heart Association. (2014). FACT SHEET: A Tough Pill to Swallow: Medication Adherence and Heart Disease. Retrieved from www.heart.org</w:t>
      </w:r>
    </w:p>
    <w:p w14:paraId="480925C7"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Benson Herbert, 2006, Menurunkan Tekanan Darah, Pt Bhuana Ilmu Popular: Jakarta Dinas Kesehatan Kota Pal</w:t>
      </w:r>
    </w:p>
    <w:p w14:paraId="21FB259A"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BPS. (2018). Jumlah Kasus 10 Penyakit Terbanyak di Provinsi Gorontalo, 2015-2016. Retrieved from https://gorontalo.bps.go.id/statictable/2016/08/23/436/jumlah-kasus-10-</w:t>
      </w:r>
      <w:r>
        <w:rPr>
          <w:rFonts w:cs="Times New Roman"/>
          <w:noProof/>
          <w:szCs w:val="24"/>
        </w:rPr>
        <w:lastRenderedPageBreak/>
        <w:t>penyakit-terbanyak-di-provinsi-gorontalo-2015-2016.html</w:t>
      </w:r>
    </w:p>
    <w:p w14:paraId="3ADE4469"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Di, H., Ranotana, P., Kawulusan, K. B., Katuuk, M. E., &amp; Bataha, Y. B. (2019). HUBUNGAN SELF-EFFICACY DENGAN KEPATUHAN MINUM OBAT KOTA MANADO, </w:t>
      </w:r>
      <w:r>
        <w:rPr>
          <w:rFonts w:cs="Times New Roman"/>
          <w:i/>
          <w:iCs/>
          <w:noProof/>
          <w:szCs w:val="24"/>
        </w:rPr>
        <w:t>7</w:t>
      </w:r>
      <w:r>
        <w:rPr>
          <w:rFonts w:cs="Times New Roman"/>
          <w:noProof/>
          <w:szCs w:val="24"/>
        </w:rPr>
        <w:t>, 1–9.</w:t>
      </w:r>
    </w:p>
    <w:p w14:paraId="7BF34436"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t>E</w:t>
      </w:r>
      <w:r>
        <w:rPr>
          <w:rFonts w:cs="Times New Roman"/>
          <w:noProof/>
          <w:szCs w:val="24"/>
        </w:rPr>
        <w:t>verett &amp; Zajacova. 2015. Gender differences in hypertension and hypertension awareness among young adults. Biodemography and social biology, 61(1), 1-17.</w:t>
      </w:r>
    </w:p>
    <w:p w14:paraId="3E8CC42D"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Fatmawati, B. R., &amp; Suprayitna, M. (2021). Self efficacy dan perilaku sehat dalam modifikasi gaya hidup penderita hipertensi, </w:t>
      </w:r>
      <w:r>
        <w:rPr>
          <w:rFonts w:cs="Times New Roman"/>
          <w:i/>
          <w:iCs/>
          <w:noProof/>
          <w:szCs w:val="24"/>
        </w:rPr>
        <w:t>11</w:t>
      </w:r>
      <w:r>
        <w:rPr>
          <w:rFonts w:cs="Times New Roman"/>
          <w:noProof/>
          <w:szCs w:val="24"/>
        </w:rPr>
        <w:t>(1), 1–7.</w:t>
      </w:r>
    </w:p>
    <w:p w14:paraId="394ED63A"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Jimmy B., Jose J. (2011). Patient Medication Adherence : Measure In Daily Practice. </w:t>
      </w:r>
      <w:r>
        <w:rPr>
          <w:rFonts w:cs="Times New Roman"/>
          <w:i/>
          <w:iCs/>
          <w:noProof/>
          <w:szCs w:val="24"/>
        </w:rPr>
        <w:t>Oman Medical Journal.</w:t>
      </w:r>
      <w:r>
        <w:rPr>
          <w:rFonts w:cs="Times New Roman"/>
          <w:noProof/>
          <w:szCs w:val="24"/>
        </w:rPr>
        <w:t xml:space="preserve">, </w:t>
      </w:r>
      <w:r>
        <w:rPr>
          <w:rFonts w:cs="Times New Roman"/>
          <w:i/>
          <w:iCs/>
          <w:noProof/>
          <w:szCs w:val="24"/>
        </w:rPr>
        <w:t>26</w:t>
      </w:r>
      <w:r>
        <w:rPr>
          <w:rFonts w:cs="Times New Roman"/>
          <w:noProof/>
          <w:szCs w:val="24"/>
        </w:rPr>
        <w:t>(3), 155–159. https://doi.org/DOI 10.5001/omj.2011.38.</w:t>
      </w:r>
    </w:p>
    <w:p w14:paraId="207D4DC8"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Kauric-Klein, Z., Peters, R. M., &amp; Yarandi, &amp; H. N. (2017). elf-efficacy and blood pressure self-care behaviors in patients on chronic hemodialysis. </w:t>
      </w:r>
      <w:r>
        <w:rPr>
          <w:rFonts w:cs="Times New Roman"/>
          <w:i/>
          <w:iCs/>
          <w:noProof/>
          <w:szCs w:val="24"/>
        </w:rPr>
        <w:t>Western Journal of Nursing Research,</w:t>
      </w:r>
      <w:r>
        <w:rPr>
          <w:rFonts w:cs="Times New Roman"/>
          <w:noProof/>
          <w:szCs w:val="24"/>
        </w:rPr>
        <w:t xml:space="preserve"> </w:t>
      </w:r>
      <w:r>
        <w:rPr>
          <w:rFonts w:cs="Times New Roman"/>
          <w:i/>
          <w:iCs/>
          <w:noProof/>
          <w:szCs w:val="24"/>
        </w:rPr>
        <w:t>39</w:t>
      </w:r>
      <w:r>
        <w:rPr>
          <w:rFonts w:cs="Times New Roman"/>
          <w:noProof/>
          <w:szCs w:val="24"/>
        </w:rPr>
        <w:t>(7).</w:t>
      </w:r>
    </w:p>
    <w:p w14:paraId="021DBBEA"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Kementerian Kesehatan Republik Indonesia. (2018). </w:t>
      </w:r>
      <w:r>
        <w:rPr>
          <w:rFonts w:cs="Times New Roman"/>
          <w:i/>
          <w:iCs/>
          <w:noProof/>
          <w:szCs w:val="24"/>
        </w:rPr>
        <w:t>Laporan nasional RISKESDAS 2018</w:t>
      </w:r>
      <w:r>
        <w:rPr>
          <w:rFonts w:cs="Times New Roman"/>
          <w:noProof/>
          <w:szCs w:val="24"/>
        </w:rPr>
        <w:t>. Retrieved from http://labdata.litbang.kemkes.go.id/images/download/laporan/RKD/2018/Laporan_Nasional_RKD2018_FINAL.pdf</w:t>
      </w:r>
    </w:p>
    <w:p w14:paraId="49BEB3B5"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Kementerian Kesehatan Republik Indonesia. (2019). Hipertensi Si Pembunuh Senyap. Retrieved from https://pusdatin.kemkes.go.id/resources/download/pusdatin/infodatin/infodatin-hipertensi-si-pembunuh-senyap.pdf</w:t>
      </w:r>
    </w:p>
    <w:p w14:paraId="34010D56"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Kendu, Y. M., Qodir, A., &amp; Apryanto, F. (2021). HUBUNGAN SELF-</w:t>
      </w:r>
      <w:r>
        <w:rPr>
          <w:rFonts w:cs="Times New Roman"/>
          <w:noProof/>
          <w:szCs w:val="24"/>
        </w:rPr>
        <w:t xml:space="preserve">EFFICACY DENGAN TINGKAT KEPATUHAN MINUM OBAT, </w:t>
      </w:r>
      <w:r>
        <w:rPr>
          <w:rFonts w:cs="Times New Roman"/>
          <w:i/>
          <w:iCs/>
          <w:noProof/>
          <w:szCs w:val="24"/>
        </w:rPr>
        <w:t>2</w:t>
      </w:r>
      <w:r>
        <w:rPr>
          <w:rFonts w:cs="Times New Roman"/>
          <w:noProof/>
          <w:szCs w:val="24"/>
        </w:rPr>
        <w:t>, 13–21.</w:t>
      </w:r>
    </w:p>
    <w:p w14:paraId="276959E9"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Oh, S. (2021). Medication Adherence and Effective Management of Hypertension, 89–90.</w:t>
      </w:r>
    </w:p>
    <w:p w14:paraId="0FAB05EE"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Oka, P., Nurhesti, Y., &amp; Manangkot, M. (1980). Hubungan self-efficacy dengan self-management behaviour pada pasien hipertensi, </w:t>
      </w:r>
      <w:r>
        <w:rPr>
          <w:rFonts w:cs="Times New Roman"/>
          <w:i/>
          <w:iCs/>
          <w:noProof/>
          <w:szCs w:val="24"/>
        </w:rPr>
        <w:t>8</w:t>
      </w:r>
      <w:r>
        <w:rPr>
          <w:rFonts w:cs="Times New Roman"/>
          <w:noProof/>
          <w:szCs w:val="24"/>
        </w:rPr>
        <w:t>(April 2020), 65–72.</w:t>
      </w:r>
    </w:p>
    <w:p w14:paraId="2F0F3D79"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Peñarrieta, M. I., Flores-Barrios, F., Gutiérrez-Gómez, T., PiñonesMartínez, S., Resendiz-Gonzalez, E., &amp; &amp; María Quintero-Valle, L. (2015). Self-management and family support in chronic diseases. </w:t>
      </w:r>
      <w:r>
        <w:rPr>
          <w:rFonts w:cs="Times New Roman"/>
          <w:i/>
          <w:iCs/>
          <w:noProof/>
          <w:szCs w:val="24"/>
        </w:rPr>
        <w:t>Journal of Nursing Education and Practice,</w:t>
      </w:r>
      <w:r>
        <w:rPr>
          <w:rFonts w:cs="Times New Roman"/>
          <w:noProof/>
          <w:szCs w:val="24"/>
        </w:rPr>
        <w:t xml:space="preserve"> </w:t>
      </w:r>
      <w:r>
        <w:rPr>
          <w:rFonts w:cs="Times New Roman"/>
          <w:i/>
          <w:iCs/>
          <w:noProof/>
          <w:szCs w:val="24"/>
        </w:rPr>
        <w:t>5</w:t>
      </w:r>
      <w:r>
        <w:rPr>
          <w:rFonts w:cs="Times New Roman"/>
          <w:noProof/>
          <w:szCs w:val="24"/>
        </w:rPr>
        <w:t>(11).</w:t>
      </w:r>
    </w:p>
    <w:p w14:paraId="76B625C4" w14:textId="77777777" w:rsidR="009F37F4" w:rsidRDefault="009F37F4" w:rsidP="009F37F4">
      <w:pPr>
        <w:widowControl w:val="0"/>
        <w:autoSpaceDE w:val="0"/>
        <w:autoSpaceDN w:val="0"/>
        <w:adjustRightInd w:val="0"/>
        <w:spacing w:after="120" w:line="240" w:lineRule="auto"/>
        <w:ind w:left="480" w:hanging="480"/>
        <w:jc w:val="both"/>
        <w:rPr>
          <w:rFonts w:cs="Times New Roman"/>
          <w:szCs w:val="24"/>
        </w:rPr>
      </w:pPr>
      <w:r>
        <w:rPr>
          <w:rFonts w:cs="Times New Roman"/>
          <w:szCs w:val="24"/>
        </w:rPr>
        <w:t>Prasetyaningrum. 2014. Hipertensi bukan untuk ditakuti, Jakarta .Fmedia (Imprint Agro Media Pustaka).</w:t>
      </w:r>
    </w:p>
    <w:p w14:paraId="44D3D61A"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Self, H., Dengan, E., Focused, P., &amp; Pada, C. (2020). The relationship of self-efficacy with problem focused coping in hypertensive patients, </w:t>
      </w:r>
      <w:r>
        <w:rPr>
          <w:rFonts w:cs="Times New Roman"/>
          <w:i/>
          <w:iCs/>
          <w:noProof/>
          <w:szCs w:val="24"/>
        </w:rPr>
        <w:t>7</w:t>
      </w:r>
      <w:r>
        <w:rPr>
          <w:rFonts w:cs="Times New Roman"/>
          <w:noProof/>
          <w:szCs w:val="24"/>
        </w:rPr>
        <w:t>(1), 1–8.</w:t>
      </w:r>
    </w:p>
    <w:p w14:paraId="0DC96DB4"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Sinaga, J., &amp; Sembiring, E. (2018). Self Efficacy dan Gaya Hidup Pasien Hipertensi, </w:t>
      </w:r>
      <w:r>
        <w:rPr>
          <w:rFonts w:cs="Times New Roman"/>
          <w:i/>
          <w:iCs/>
          <w:noProof/>
          <w:szCs w:val="24"/>
        </w:rPr>
        <w:t>9</w:t>
      </w:r>
      <w:r>
        <w:rPr>
          <w:rFonts w:cs="Times New Roman"/>
          <w:noProof/>
          <w:szCs w:val="24"/>
        </w:rPr>
        <w:t>(November), 360–365.</w:t>
      </w:r>
    </w:p>
    <w:p w14:paraId="03824618"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Warren-Findlow, J., Seymour, R. B., &amp;, &amp; Huber, L. R. B. (2012). The association between self-efficacy and hypertension self-care activities among African American adults. </w:t>
      </w:r>
      <w:r>
        <w:rPr>
          <w:rFonts w:cs="Times New Roman"/>
          <w:i/>
          <w:iCs/>
          <w:noProof/>
          <w:szCs w:val="24"/>
        </w:rPr>
        <w:t>Journal of Community Health,</w:t>
      </w:r>
      <w:r>
        <w:rPr>
          <w:rFonts w:cs="Times New Roman"/>
          <w:noProof/>
          <w:szCs w:val="24"/>
        </w:rPr>
        <w:t xml:space="preserve"> </w:t>
      </w:r>
      <w:r>
        <w:rPr>
          <w:rFonts w:cs="Times New Roman"/>
          <w:i/>
          <w:iCs/>
          <w:noProof/>
          <w:szCs w:val="24"/>
        </w:rPr>
        <w:t>37</w:t>
      </w:r>
      <w:r>
        <w:rPr>
          <w:rFonts w:cs="Times New Roman"/>
          <w:noProof/>
          <w:szCs w:val="24"/>
        </w:rPr>
        <w:t>(1).</w:t>
      </w:r>
    </w:p>
    <w:p w14:paraId="37C7C6EF"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Warren-findlow, J., &amp; Huber, L. R. B. (2013). NIH Public Access, </w:t>
      </w:r>
      <w:r>
        <w:rPr>
          <w:rFonts w:cs="Times New Roman"/>
          <w:i/>
          <w:iCs/>
          <w:noProof/>
          <w:szCs w:val="24"/>
        </w:rPr>
        <w:t>37</w:t>
      </w:r>
      <w:r>
        <w:rPr>
          <w:rFonts w:cs="Times New Roman"/>
          <w:noProof/>
          <w:szCs w:val="24"/>
        </w:rPr>
        <w:t>(1), 15–24. https://doi.org/10.1007/s10900-011-9410-6.The</w:t>
      </w:r>
    </w:p>
    <w:p w14:paraId="06278BDB" w14:textId="77777777" w:rsidR="009F37F4" w:rsidRDefault="009F37F4" w:rsidP="009F37F4">
      <w:pPr>
        <w:widowControl w:val="0"/>
        <w:autoSpaceDE w:val="0"/>
        <w:autoSpaceDN w:val="0"/>
        <w:adjustRightInd w:val="0"/>
        <w:spacing w:after="120" w:line="240" w:lineRule="auto"/>
        <w:ind w:left="480" w:hanging="480"/>
        <w:jc w:val="both"/>
        <w:rPr>
          <w:rFonts w:cs="Times New Roman"/>
          <w:noProof/>
          <w:szCs w:val="24"/>
        </w:rPr>
      </w:pPr>
      <w:r>
        <w:rPr>
          <w:rFonts w:cs="Times New Roman"/>
          <w:noProof/>
          <w:szCs w:val="24"/>
        </w:rPr>
        <w:t xml:space="preserve">Widiawatie, N., Handayani, F., Sobirin, M. A., &amp; Widiawatie, N. (2021). Factors affecting self-efficacy against hypertension self-care in hypertension patients : a scoping review, </w:t>
      </w:r>
      <w:r>
        <w:rPr>
          <w:rFonts w:cs="Times New Roman"/>
          <w:i/>
          <w:iCs/>
          <w:noProof/>
          <w:szCs w:val="24"/>
        </w:rPr>
        <w:t>9</w:t>
      </w:r>
      <w:r>
        <w:rPr>
          <w:rFonts w:cs="Times New Roman"/>
          <w:noProof/>
          <w:szCs w:val="24"/>
        </w:rPr>
        <w:t>(3), 914–</w:t>
      </w:r>
      <w:r>
        <w:rPr>
          <w:rFonts w:cs="Times New Roman"/>
          <w:noProof/>
          <w:szCs w:val="24"/>
        </w:rPr>
        <w:lastRenderedPageBreak/>
        <w:t>922.</w:t>
      </w:r>
    </w:p>
    <w:p w14:paraId="4AC493D0" w14:textId="77777777" w:rsidR="00C414B5" w:rsidRDefault="009F37F4" w:rsidP="00F81057">
      <w:pPr>
        <w:pStyle w:val="BodyText"/>
        <w:jc w:val="both"/>
        <w:rPr>
          <w:rFonts w:ascii="Times New Roman" w:hAnsi="Times New Roman" w:cs="Times New Roman"/>
          <w:sz w:val="24"/>
          <w:szCs w:val="24"/>
        </w:rPr>
        <w:sectPr w:rsidR="00C414B5" w:rsidSect="00C414B5">
          <w:type w:val="continuous"/>
          <w:pgSz w:w="11907" w:h="16839" w:code="9"/>
          <w:pgMar w:top="1440" w:right="1440" w:bottom="1440" w:left="1440" w:header="720" w:footer="720" w:gutter="0"/>
          <w:cols w:num="2" w:space="720"/>
          <w:docGrid w:linePitch="360"/>
        </w:sectPr>
      </w:pPr>
      <w:r>
        <w:rPr>
          <w:rFonts w:ascii="Times New Roman" w:hAnsi="Times New Roman" w:cs="Times New Roman"/>
          <w:sz w:val="24"/>
          <w:szCs w:val="24"/>
        </w:rPr>
        <w:fldChar w:fldCharType="end"/>
      </w:r>
    </w:p>
    <w:p w14:paraId="362CF98C" w14:textId="77777777" w:rsidR="009F37F4" w:rsidRDefault="009F37F4" w:rsidP="00F81057">
      <w:pPr>
        <w:pStyle w:val="BodyText"/>
        <w:jc w:val="both"/>
        <w:rPr>
          <w:sz w:val="20"/>
        </w:rPr>
      </w:pPr>
    </w:p>
    <w:p w14:paraId="766E310B" w14:textId="77777777" w:rsidR="009F37F4" w:rsidRDefault="009F37F4" w:rsidP="009F37F4">
      <w:pPr>
        <w:pStyle w:val="BodyText"/>
        <w:jc w:val="center"/>
        <w:rPr>
          <w:sz w:val="20"/>
        </w:rPr>
      </w:pPr>
    </w:p>
    <w:p w14:paraId="7C5C743E" w14:textId="77777777" w:rsidR="00D702E0" w:rsidRPr="00D62E97" w:rsidRDefault="00D702E0" w:rsidP="009F37F4">
      <w:pPr>
        <w:spacing w:after="0" w:line="360" w:lineRule="auto"/>
        <w:jc w:val="both"/>
        <w:rPr>
          <w:rFonts w:cs="Times New Roman"/>
          <w:color w:val="000000" w:themeColor="text1"/>
          <w:szCs w:val="24"/>
        </w:rPr>
      </w:pPr>
    </w:p>
    <w:sectPr w:rsidR="00D702E0" w:rsidRPr="00D62E97" w:rsidSect="00C414B5">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57EE" w14:textId="77777777" w:rsidR="00A43CDF" w:rsidRDefault="00A43CDF" w:rsidP="007D325F">
      <w:pPr>
        <w:spacing w:after="0" w:line="240" w:lineRule="auto"/>
      </w:pPr>
      <w:r>
        <w:separator/>
      </w:r>
    </w:p>
  </w:endnote>
  <w:endnote w:type="continuationSeparator" w:id="0">
    <w:p w14:paraId="08FCB77B" w14:textId="77777777" w:rsidR="00A43CDF" w:rsidRDefault="00A43CDF" w:rsidP="007D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7B78" w14:textId="77777777" w:rsidR="00A43CDF" w:rsidRDefault="00A43CDF" w:rsidP="007D325F">
      <w:pPr>
        <w:spacing w:after="0" w:line="240" w:lineRule="auto"/>
      </w:pPr>
      <w:r>
        <w:separator/>
      </w:r>
    </w:p>
  </w:footnote>
  <w:footnote w:type="continuationSeparator" w:id="0">
    <w:p w14:paraId="717A0032" w14:textId="77777777" w:rsidR="00A43CDF" w:rsidRDefault="00A43CDF" w:rsidP="007D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D92C" w14:textId="77777777" w:rsidR="00A43CDF" w:rsidRPr="00CB0B44" w:rsidRDefault="00A43CDF" w:rsidP="00700529">
    <w:pPr>
      <w:pStyle w:val="Header"/>
      <w:tabs>
        <w:tab w:val="clear" w:pos="9360"/>
      </w:tabs>
      <w:rPr>
        <w:b/>
        <w:color w:val="943634" w:themeColor="accent2" w:themeShade="BF"/>
        <w:sz w:val="60"/>
        <w:szCs w:val="60"/>
      </w:rPr>
    </w:pPr>
    <w:r w:rsidRPr="00CB0B44">
      <w:rPr>
        <w:b/>
        <w:color w:val="943634" w:themeColor="accent2" w:themeShade="BF"/>
        <w:sz w:val="60"/>
        <w:szCs w:val="6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p>
  <w:p w14:paraId="0D8750B8" w14:textId="77777777" w:rsidR="00A43CDF" w:rsidRPr="00CE530A" w:rsidRDefault="00A43CDF" w:rsidP="00700529">
    <w:pPr>
      <w:pStyle w:val="Header"/>
      <w:pBdr>
        <w:bottom w:val="single" w:sz="6" w:space="1" w:color="auto"/>
      </w:pBdr>
      <w:tabs>
        <w:tab w:val="clear" w:pos="9360"/>
      </w:tabs>
      <w:rPr>
        <w:rFonts w:cs="Times New Roman"/>
      </w:rPr>
    </w:pPr>
    <w:r>
      <w:rPr>
        <w:rFonts w:ascii="Brush Script MT" w:hAnsi="Brush Script MT"/>
      </w:rPr>
      <w:t xml:space="preserve">Jambura </w:t>
    </w:r>
    <w:r w:rsidRPr="007D325F">
      <w:rPr>
        <w:rFonts w:ascii="Brush Script MT" w:hAnsi="Brush Script MT"/>
      </w:rPr>
      <w:t>Nurisng Journal</w:t>
    </w:r>
    <w:r>
      <w:rPr>
        <w:rFonts w:ascii="Brush Script MT" w:hAnsi="Brush Script MT"/>
      </w:rPr>
      <w:t xml:space="preserve"> </w:t>
    </w:r>
    <w:r>
      <w:rPr>
        <w:rFonts w:ascii="Brush Script MT" w:hAnsi="Brush Script MT"/>
        <w:i/>
      </w:rPr>
      <w:tab/>
    </w:r>
    <w:r>
      <w:rPr>
        <w:rFonts w:ascii="Brush Script MT" w:hAnsi="Brush Script MT"/>
        <w:i/>
      </w:rPr>
      <w:tab/>
      <w:t xml:space="preserve">    </w:t>
    </w:r>
    <w:r w:rsidRPr="00E45B43">
      <w:rPr>
        <w:rFonts w:cs="Times New Roman"/>
      </w:rPr>
      <w:t>p</w:t>
    </w:r>
    <w:r>
      <w:rPr>
        <w:rFonts w:cs="Times New Roman"/>
      </w:rPr>
      <w:t xml:space="preserve">ISSN: </w:t>
    </w:r>
    <w:r w:rsidRPr="00626B97">
      <w:rPr>
        <w:rFonts w:cs="Times New Roman"/>
      </w:rPr>
      <w:t>2654-2927</w:t>
    </w:r>
    <w:r>
      <w:rPr>
        <w:rFonts w:cs="Times New Roman"/>
      </w:rPr>
      <w:t xml:space="preserve"> eISSN: 2656-4653</w:t>
    </w:r>
  </w:p>
  <w:p w14:paraId="1B304D41" w14:textId="77777777" w:rsidR="00A43CDF" w:rsidRPr="00700529" w:rsidRDefault="00A43CDF" w:rsidP="00700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F"/>
    <w:rsid w:val="000273B1"/>
    <w:rsid w:val="0003487A"/>
    <w:rsid w:val="000478FF"/>
    <w:rsid w:val="0005199B"/>
    <w:rsid w:val="00063B43"/>
    <w:rsid w:val="000729B3"/>
    <w:rsid w:val="000801A6"/>
    <w:rsid w:val="000A734C"/>
    <w:rsid w:val="000B1E12"/>
    <w:rsid w:val="000B6A18"/>
    <w:rsid w:val="00100E6F"/>
    <w:rsid w:val="00101244"/>
    <w:rsid w:val="00102869"/>
    <w:rsid w:val="0010378D"/>
    <w:rsid w:val="00147A38"/>
    <w:rsid w:val="0015676E"/>
    <w:rsid w:val="001737E4"/>
    <w:rsid w:val="00190286"/>
    <w:rsid w:val="00191A96"/>
    <w:rsid w:val="001A5E41"/>
    <w:rsid w:val="001D7240"/>
    <w:rsid w:val="001D7E16"/>
    <w:rsid w:val="001E5E22"/>
    <w:rsid w:val="00217236"/>
    <w:rsid w:val="00236719"/>
    <w:rsid w:val="002825D1"/>
    <w:rsid w:val="002A0A5D"/>
    <w:rsid w:val="002A40E9"/>
    <w:rsid w:val="002B1077"/>
    <w:rsid w:val="002C5727"/>
    <w:rsid w:val="002D6BEC"/>
    <w:rsid w:val="002E56DB"/>
    <w:rsid w:val="00306C3A"/>
    <w:rsid w:val="003506F9"/>
    <w:rsid w:val="00357C51"/>
    <w:rsid w:val="00361F59"/>
    <w:rsid w:val="00373EFF"/>
    <w:rsid w:val="0039014B"/>
    <w:rsid w:val="0039377E"/>
    <w:rsid w:val="003D3425"/>
    <w:rsid w:val="003F0ED9"/>
    <w:rsid w:val="00404CD9"/>
    <w:rsid w:val="004312AF"/>
    <w:rsid w:val="004470D7"/>
    <w:rsid w:val="0048363F"/>
    <w:rsid w:val="004A3BE3"/>
    <w:rsid w:val="004D38F5"/>
    <w:rsid w:val="004F7098"/>
    <w:rsid w:val="004F73FA"/>
    <w:rsid w:val="0050574D"/>
    <w:rsid w:val="00534BB7"/>
    <w:rsid w:val="0054743C"/>
    <w:rsid w:val="005801EE"/>
    <w:rsid w:val="00582EF0"/>
    <w:rsid w:val="00587444"/>
    <w:rsid w:val="005A5DA7"/>
    <w:rsid w:val="005C4BBC"/>
    <w:rsid w:val="005C7E7F"/>
    <w:rsid w:val="005E5A28"/>
    <w:rsid w:val="00697406"/>
    <w:rsid w:val="006A0D6A"/>
    <w:rsid w:val="006B03AB"/>
    <w:rsid w:val="00700529"/>
    <w:rsid w:val="00700A3F"/>
    <w:rsid w:val="007043B3"/>
    <w:rsid w:val="00720C04"/>
    <w:rsid w:val="00721471"/>
    <w:rsid w:val="00763FDD"/>
    <w:rsid w:val="00782E48"/>
    <w:rsid w:val="007A3B0E"/>
    <w:rsid w:val="007A612C"/>
    <w:rsid w:val="007B5A9E"/>
    <w:rsid w:val="007C36E8"/>
    <w:rsid w:val="007D0950"/>
    <w:rsid w:val="007D325F"/>
    <w:rsid w:val="008175CB"/>
    <w:rsid w:val="00825977"/>
    <w:rsid w:val="00832BDD"/>
    <w:rsid w:val="008400FA"/>
    <w:rsid w:val="00853ECE"/>
    <w:rsid w:val="00866C20"/>
    <w:rsid w:val="008971FD"/>
    <w:rsid w:val="008D2EC8"/>
    <w:rsid w:val="008D735C"/>
    <w:rsid w:val="008E2690"/>
    <w:rsid w:val="008F4437"/>
    <w:rsid w:val="008F76E1"/>
    <w:rsid w:val="009034C5"/>
    <w:rsid w:val="00914DC3"/>
    <w:rsid w:val="009157F0"/>
    <w:rsid w:val="0095295A"/>
    <w:rsid w:val="009A4328"/>
    <w:rsid w:val="009C102D"/>
    <w:rsid w:val="009F37F4"/>
    <w:rsid w:val="00A43CDF"/>
    <w:rsid w:val="00AC19A6"/>
    <w:rsid w:val="00AC3FCD"/>
    <w:rsid w:val="00AC5F0B"/>
    <w:rsid w:val="00B04011"/>
    <w:rsid w:val="00B739A7"/>
    <w:rsid w:val="00BA49C0"/>
    <w:rsid w:val="00BB3A2F"/>
    <w:rsid w:val="00BF222C"/>
    <w:rsid w:val="00C034C4"/>
    <w:rsid w:val="00C15668"/>
    <w:rsid w:val="00C2207C"/>
    <w:rsid w:val="00C31D96"/>
    <w:rsid w:val="00C414B5"/>
    <w:rsid w:val="00CB0B44"/>
    <w:rsid w:val="00CC5FB8"/>
    <w:rsid w:val="00CE39D7"/>
    <w:rsid w:val="00D0583E"/>
    <w:rsid w:val="00D314A3"/>
    <w:rsid w:val="00D344EF"/>
    <w:rsid w:val="00D543FE"/>
    <w:rsid w:val="00D5469A"/>
    <w:rsid w:val="00D62E97"/>
    <w:rsid w:val="00D702E0"/>
    <w:rsid w:val="00DB43CB"/>
    <w:rsid w:val="00DB5419"/>
    <w:rsid w:val="00DD13D9"/>
    <w:rsid w:val="00E06852"/>
    <w:rsid w:val="00E06B0E"/>
    <w:rsid w:val="00E45B43"/>
    <w:rsid w:val="00ED2CE1"/>
    <w:rsid w:val="00ED4BFA"/>
    <w:rsid w:val="00EF7AE3"/>
    <w:rsid w:val="00F02AF1"/>
    <w:rsid w:val="00F07A5A"/>
    <w:rsid w:val="00F20600"/>
    <w:rsid w:val="00F81057"/>
    <w:rsid w:val="00F9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F9FF"/>
  <w15:docId w15:val="{5786CA0B-51EA-4FAF-9264-21A5ACDE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34C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5F"/>
  </w:style>
  <w:style w:type="paragraph" w:styleId="Footer">
    <w:name w:val="footer"/>
    <w:basedOn w:val="Normal"/>
    <w:link w:val="FooterChar"/>
    <w:uiPriority w:val="99"/>
    <w:unhideWhenUsed/>
    <w:rsid w:val="007D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5F"/>
  </w:style>
  <w:style w:type="character" w:styleId="Hyperlink">
    <w:name w:val="Hyperlink"/>
    <w:basedOn w:val="DefaultParagraphFont"/>
    <w:uiPriority w:val="99"/>
    <w:unhideWhenUsed/>
    <w:rsid w:val="005C4BBC"/>
    <w:rPr>
      <w:color w:val="0000FF" w:themeColor="hyperlink"/>
      <w:u w:val="single"/>
    </w:rPr>
  </w:style>
  <w:style w:type="paragraph" w:styleId="ListParagraph">
    <w:name w:val="List Paragraph"/>
    <w:basedOn w:val="Normal"/>
    <w:uiPriority w:val="34"/>
    <w:qFormat/>
    <w:rsid w:val="002D6BEC"/>
    <w:pPr>
      <w:ind w:left="720"/>
      <w:contextualSpacing/>
    </w:pPr>
    <w:rPr>
      <w:rFonts w:ascii="Calibri" w:eastAsia="Calibri" w:hAnsi="Calibri" w:cs="Times New Roman"/>
      <w:sz w:val="22"/>
      <w:lang w:val="id-ID"/>
    </w:rPr>
  </w:style>
  <w:style w:type="paragraph" w:styleId="HTMLPreformatted">
    <w:name w:val="HTML Preformatted"/>
    <w:basedOn w:val="Normal"/>
    <w:link w:val="HTMLPreformattedChar"/>
    <w:uiPriority w:val="99"/>
    <w:semiHidden/>
    <w:unhideWhenUsed/>
    <w:rsid w:val="002A4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0E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9034C5"/>
    <w:rPr>
      <w:rFonts w:eastAsia="Times New Roman" w:cs="Times New Roman"/>
      <w:b/>
      <w:bCs/>
      <w:kern w:val="36"/>
      <w:sz w:val="48"/>
      <w:szCs w:val="48"/>
    </w:rPr>
  </w:style>
  <w:style w:type="paragraph" w:styleId="BodyText">
    <w:name w:val="Body Text"/>
    <w:basedOn w:val="Normal"/>
    <w:link w:val="BodyTextChar"/>
    <w:uiPriority w:val="1"/>
    <w:unhideWhenUsed/>
    <w:qFormat/>
    <w:rsid w:val="00100E6F"/>
    <w:pPr>
      <w:spacing w:after="120"/>
    </w:pPr>
    <w:rPr>
      <w:rFonts w:asciiTheme="minorHAnsi" w:eastAsiaTheme="minorEastAsia" w:hAnsiTheme="minorHAnsi"/>
      <w:sz w:val="22"/>
    </w:rPr>
  </w:style>
  <w:style w:type="character" w:customStyle="1" w:styleId="BodyTextChar">
    <w:name w:val="Body Text Char"/>
    <w:basedOn w:val="DefaultParagraphFont"/>
    <w:link w:val="BodyText"/>
    <w:uiPriority w:val="1"/>
    <w:rsid w:val="00100E6F"/>
    <w:rPr>
      <w:rFonts w:asciiTheme="minorHAnsi" w:eastAsiaTheme="minorEastAsia" w:hAnsiTheme="minorHAnsi"/>
      <w:sz w:val="22"/>
    </w:rPr>
  </w:style>
  <w:style w:type="character" w:customStyle="1" w:styleId="hgkelc">
    <w:name w:val="hgkelc"/>
    <w:basedOn w:val="DefaultParagraphFont"/>
    <w:rsid w:val="009F37F4"/>
  </w:style>
  <w:style w:type="paragraph" w:styleId="NormalWeb">
    <w:name w:val="Normal (Web)"/>
    <w:basedOn w:val="Normal"/>
    <w:uiPriority w:val="99"/>
    <w:semiHidden/>
    <w:unhideWhenUsed/>
    <w:rsid w:val="00A43CDF"/>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04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7097">
      <w:bodyDiv w:val="1"/>
      <w:marLeft w:val="0"/>
      <w:marRight w:val="0"/>
      <w:marTop w:val="0"/>
      <w:marBottom w:val="0"/>
      <w:divBdr>
        <w:top w:val="none" w:sz="0" w:space="0" w:color="auto"/>
        <w:left w:val="none" w:sz="0" w:space="0" w:color="auto"/>
        <w:bottom w:val="none" w:sz="0" w:space="0" w:color="auto"/>
        <w:right w:val="none" w:sz="0" w:space="0" w:color="auto"/>
      </w:divBdr>
    </w:div>
    <w:div w:id="839538382">
      <w:bodyDiv w:val="1"/>
      <w:marLeft w:val="0"/>
      <w:marRight w:val="0"/>
      <w:marTop w:val="0"/>
      <w:marBottom w:val="0"/>
      <w:divBdr>
        <w:top w:val="none" w:sz="0" w:space="0" w:color="auto"/>
        <w:left w:val="none" w:sz="0" w:space="0" w:color="auto"/>
        <w:bottom w:val="none" w:sz="0" w:space="0" w:color="auto"/>
        <w:right w:val="none" w:sz="0" w:space="0" w:color="auto"/>
      </w:divBdr>
    </w:div>
    <w:div w:id="1138111218">
      <w:bodyDiv w:val="1"/>
      <w:marLeft w:val="0"/>
      <w:marRight w:val="0"/>
      <w:marTop w:val="0"/>
      <w:marBottom w:val="0"/>
      <w:divBdr>
        <w:top w:val="none" w:sz="0" w:space="0" w:color="auto"/>
        <w:left w:val="none" w:sz="0" w:space="0" w:color="auto"/>
        <w:bottom w:val="none" w:sz="0" w:space="0" w:color="auto"/>
        <w:right w:val="none" w:sz="0" w:space="0" w:color="auto"/>
      </w:divBdr>
    </w:div>
    <w:div w:id="1200968477">
      <w:bodyDiv w:val="1"/>
      <w:marLeft w:val="0"/>
      <w:marRight w:val="0"/>
      <w:marTop w:val="0"/>
      <w:marBottom w:val="0"/>
      <w:divBdr>
        <w:top w:val="none" w:sz="0" w:space="0" w:color="auto"/>
        <w:left w:val="none" w:sz="0" w:space="0" w:color="auto"/>
        <w:bottom w:val="none" w:sz="0" w:space="0" w:color="auto"/>
        <w:right w:val="none" w:sz="0" w:space="0" w:color="auto"/>
      </w:divBdr>
    </w:div>
    <w:div w:id="1320424549">
      <w:bodyDiv w:val="1"/>
      <w:marLeft w:val="0"/>
      <w:marRight w:val="0"/>
      <w:marTop w:val="0"/>
      <w:marBottom w:val="0"/>
      <w:divBdr>
        <w:top w:val="none" w:sz="0" w:space="0" w:color="auto"/>
        <w:left w:val="none" w:sz="0" w:space="0" w:color="auto"/>
        <w:bottom w:val="none" w:sz="0" w:space="0" w:color="auto"/>
        <w:right w:val="none" w:sz="0" w:space="0" w:color="auto"/>
      </w:divBdr>
    </w:div>
    <w:div w:id="1593274777">
      <w:bodyDiv w:val="1"/>
      <w:marLeft w:val="0"/>
      <w:marRight w:val="0"/>
      <w:marTop w:val="0"/>
      <w:marBottom w:val="0"/>
      <w:divBdr>
        <w:top w:val="none" w:sz="0" w:space="0" w:color="auto"/>
        <w:left w:val="none" w:sz="0" w:space="0" w:color="auto"/>
        <w:bottom w:val="none" w:sz="0" w:space="0" w:color="auto"/>
        <w:right w:val="none" w:sz="0" w:space="0" w:color="auto"/>
      </w:divBdr>
    </w:div>
    <w:div w:id="1840926101">
      <w:bodyDiv w:val="1"/>
      <w:marLeft w:val="0"/>
      <w:marRight w:val="0"/>
      <w:marTop w:val="0"/>
      <w:marBottom w:val="0"/>
      <w:divBdr>
        <w:top w:val="none" w:sz="0" w:space="0" w:color="auto"/>
        <w:left w:val="none" w:sz="0" w:space="0" w:color="auto"/>
        <w:bottom w:val="none" w:sz="0" w:space="0" w:color="auto"/>
        <w:right w:val="none" w:sz="0" w:space="0" w:color="auto"/>
      </w:divBdr>
    </w:div>
    <w:div w:id="1877963644">
      <w:bodyDiv w:val="1"/>
      <w:marLeft w:val="0"/>
      <w:marRight w:val="0"/>
      <w:marTop w:val="0"/>
      <w:marBottom w:val="0"/>
      <w:divBdr>
        <w:top w:val="none" w:sz="0" w:space="0" w:color="auto"/>
        <w:left w:val="none" w:sz="0" w:space="0" w:color="auto"/>
        <w:bottom w:val="none" w:sz="0" w:space="0" w:color="auto"/>
        <w:right w:val="none" w:sz="0" w:space="0" w:color="auto"/>
      </w:divBdr>
    </w:div>
    <w:div w:id="1919633934">
      <w:bodyDiv w:val="1"/>
      <w:marLeft w:val="0"/>
      <w:marRight w:val="0"/>
      <w:marTop w:val="0"/>
      <w:marBottom w:val="0"/>
      <w:divBdr>
        <w:top w:val="none" w:sz="0" w:space="0" w:color="auto"/>
        <w:left w:val="none" w:sz="0" w:space="0" w:color="auto"/>
        <w:bottom w:val="none" w:sz="0" w:space="0" w:color="auto"/>
        <w:right w:val="none" w:sz="0" w:space="0" w:color="auto"/>
      </w:divBdr>
    </w:div>
    <w:div w:id="20750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rdiana@ung.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6F8D-E8C0-4042-9DBE-F645ECD196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Gusti Pandi Liputo</cp:lastModifiedBy>
  <cp:revision>2</cp:revision>
  <cp:lastPrinted>2018-11-05T06:37:00Z</cp:lastPrinted>
  <dcterms:created xsi:type="dcterms:W3CDTF">2022-01-30T16:40:00Z</dcterms:created>
  <dcterms:modified xsi:type="dcterms:W3CDTF">2022-01-30T16:40:00Z</dcterms:modified>
</cp:coreProperties>
</file>