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A0E6E" w14:textId="77777777" w:rsidR="00DF1FAE" w:rsidRDefault="00376A28" w:rsidP="00DF1FAE">
      <w:pPr>
        <w:spacing w:before="240" w:after="240" w:line="240" w:lineRule="auto"/>
        <w:jc w:val="center"/>
        <w:rPr>
          <w:rFonts w:ascii="Times New Roman" w:eastAsia="Times New Roman" w:hAnsi="Times New Roman" w:cs="Times New Roman"/>
          <w:b/>
          <w:sz w:val="28"/>
          <w:szCs w:val="28"/>
        </w:rPr>
      </w:pPr>
      <w:r w:rsidRPr="00DF1FAE">
        <w:rPr>
          <w:rFonts w:ascii="Times New Roman" w:eastAsia="Times New Roman" w:hAnsi="Times New Roman" w:cs="Times New Roman"/>
          <w:b/>
          <w:sz w:val="28"/>
          <w:szCs w:val="28"/>
        </w:rPr>
        <w:t xml:space="preserve">Green Lifestyle and Green Trust Effect on Green Purchase Decision </w:t>
      </w:r>
    </w:p>
    <w:p w14:paraId="00000001" w14:textId="2393D75F" w:rsidR="00471656" w:rsidRPr="00DF1FAE" w:rsidRDefault="00376A28" w:rsidP="00DF1FAE">
      <w:pPr>
        <w:spacing w:before="240" w:after="240" w:line="240" w:lineRule="auto"/>
        <w:jc w:val="center"/>
        <w:rPr>
          <w:rFonts w:ascii="Times New Roman" w:eastAsia="Times New Roman" w:hAnsi="Times New Roman" w:cs="Times New Roman"/>
          <w:b/>
          <w:sz w:val="28"/>
          <w:szCs w:val="28"/>
        </w:rPr>
      </w:pPr>
      <w:r w:rsidRPr="00DF1FAE">
        <w:rPr>
          <w:rFonts w:ascii="Times New Roman" w:eastAsia="Times New Roman" w:hAnsi="Times New Roman" w:cs="Times New Roman"/>
          <w:b/>
          <w:sz w:val="28"/>
          <w:szCs w:val="28"/>
        </w:rPr>
        <w:t>(Study on Organic Vegetables Buyer in Malang City)</w:t>
      </w:r>
    </w:p>
    <w:p w14:paraId="102F9A23" w14:textId="77777777" w:rsidR="00DF1FAE" w:rsidRDefault="00DF1FAE" w:rsidP="00DF1FAE">
      <w:pPr>
        <w:spacing w:before="240" w:after="240" w:line="240" w:lineRule="auto"/>
        <w:jc w:val="center"/>
        <w:rPr>
          <w:rFonts w:ascii="Times New Roman" w:eastAsia="Times New Roman" w:hAnsi="Times New Roman" w:cs="Times New Roman"/>
          <w:b/>
          <w:sz w:val="24"/>
          <w:szCs w:val="24"/>
        </w:rPr>
      </w:pPr>
    </w:p>
    <w:p w14:paraId="00000002" w14:textId="77777777" w:rsidR="00471656" w:rsidRPr="00DF1FAE" w:rsidRDefault="00376A28" w:rsidP="00DF1FAE">
      <w:pPr>
        <w:keepLines/>
        <w:spacing w:line="240" w:lineRule="auto"/>
        <w:rPr>
          <w:rFonts w:ascii="Times New Roman" w:eastAsia="Times New Roman" w:hAnsi="Times New Roman" w:cs="Times New Roman"/>
          <w:sz w:val="20"/>
          <w:szCs w:val="20"/>
        </w:rPr>
      </w:pPr>
      <w:r w:rsidRPr="00DF1FAE">
        <w:rPr>
          <w:rFonts w:ascii="Times New Roman" w:eastAsia="Times New Roman" w:hAnsi="Times New Roman" w:cs="Times New Roman"/>
          <w:sz w:val="20"/>
          <w:szCs w:val="20"/>
        </w:rPr>
        <w:t>Dewi Rakhmawati</w:t>
      </w:r>
    </w:p>
    <w:p w14:paraId="00000003" w14:textId="77777777" w:rsidR="00471656" w:rsidRPr="00DF1FAE" w:rsidRDefault="00376A28" w:rsidP="00DF1FAE">
      <w:pPr>
        <w:keepLines/>
        <w:spacing w:line="240" w:lineRule="auto"/>
        <w:rPr>
          <w:rFonts w:ascii="Times New Roman" w:eastAsia="Times New Roman" w:hAnsi="Times New Roman" w:cs="Times New Roman"/>
          <w:sz w:val="20"/>
          <w:szCs w:val="20"/>
        </w:rPr>
      </w:pPr>
      <w:r w:rsidRPr="00DF1FAE">
        <w:rPr>
          <w:rFonts w:ascii="Times New Roman" w:eastAsia="Times New Roman" w:hAnsi="Times New Roman" w:cs="Times New Roman"/>
          <w:sz w:val="20"/>
          <w:szCs w:val="20"/>
        </w:rPr>
        <w:t>Merdeka University, Malang, Indonesia</w:t>
      </w:r>
    </w:p>
    <w:p w14:paraId="00000004" w14:textId="2A27FD72" w:rsidR="00471656" w:rsidRPr="00DF1FAE" w:rsidRDefault="00DF1FAE" w:rsidP="00DF1FAE">
      <w:pPr>
        <w:keepLines/>
        <w:spacing w:line="240" w:lineRule="auto"/>
        <w:rPr>
          <w:rFonts w:ascii="Times New Roman" w:eastAsia="Times New Roman" w:hAnsi="Times New Roman" w:cs="Times New Roman"/>
          <w:sz w:val="20"/>
          <w:szCs w:val="20"/>
        </w:rPr>
      </w:pPr>
      <w:hyperlink r:id="rId4" w:history="1">
        <w:r w:rsidRPr="00DF1FAE">
          <w:rPr>
            <w:rStyle w:val="Hyperlink"/>
            <w:rFonts w:ascii="Times New Roman" w:eastAsia="Times New Roman" w:hAnsi="Times New Roman" w:cs="Times New Roman"/>
            <w:sz w:val="20"/>
            <w:szCs w:val="20"/>
          </w:rPr>
          <w:t>Dewi.Rakhmawati@unmer.ac.id</w:t>
        </w:r>
      </w:hyperlink>
    </w:p>
    <w:p w14:paraId="5C93C695" w14:textId="77777777" w:rsidR="00DF1FAE" w:rsidRPr="00DF1FAE" w:rsidRDefault="00DF1FAE" w:rsidP="00DF1FAE">
      <w:pPr>
        <w:keepLines/>
        <w:spacing w:line="240" w:lineRule="auto"/>
        <w:rPr>
          <w:rFonts w:ascii="Times New Roman" w:eastAsia="Times New Roman" w:hAnsi="Times New Roman" w:cs="Times New Roman"/>
          <w:sz w:val="20"/>
          <w:szCs w:val="20"/>
        </w:rPr>
      </w:pPr>
    </w:p>
    <w:p w14:paraId="00000005" w14:textId="77777777" w:rsidR="00471656" w:rsidRDefault="00376A28" w:rsidP="00DF1FA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6" w14:textId="77777777" w:rsidR="00471656" w:rsidRDefault="00376A28" w:rsidP="00DF1FA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Purpose: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52525"/>
          <w:sz w:val="24"/>
          <w:szCs w:val="24"/>
        </w:rPr>
        <w:t>This study aims to analyze the effect of lifestyle variables and trust variables on green purchase decisions in buying organic vegetables in Malang City.</w:t>
      </w:r>
    </w:p>
    <w:p w14:paraId="00000007" w14:textId="77777777" w:rsidR="00471656" w:rsidRDefault="00376A28" w:rsidP="00DF1FA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Design/Methodology/Approach: </w:t>
      </w:r>
      <w:r>
        <w:rPr>
          <w:rFonts w:ascii="Times New Roman" w:eastAsia="Times New Roman" w:hAnsi="Times New Roman" w:cs="Times New Roman"/>
          <w:sz w:val="24"/>
          <w:szCs w:val="24"/>
        </w:rPr>
        <w:t>This research was conducted using a quantitative method with multiple linear regression analysis techniques and with the aid of IBM SPSS ver. 25. This study involved 100 respondents who were identified as buyers of organic vegetable products in Malang City.</w:t>
      </w:r>
    </w:p>
    <w:p w14:paraId="00000008" w14:textId="77777777" w:rsidR="00471656" w:rsidRDefault="00376A28" w:rsidP="00DF1FA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Findings: </w:t>
      </w:r>
      <w:r>
        <w:rPr>
          <w:rFonts w:ascii="Times New Roman" w:eastAsia="Times New Roman" w:hAnsi="Times New Roman" w:cs="Times New Roman"/>
          <w:sz w:val="24"/>
          <w:szCs w:val="24"/>
        </w:rPr>
        <w:t>The green lifestyle variable in this study has a significantly positive effect on the green purchase decision of organic vegetable products. It is also known that the green trust variable has a significant positive effect on the green purchase decision as well. While the two variables, green lifestyle and green trust, are carried out simultaneously, they also have a positive and significant influence on green purchase decisions in purchasing organic vegetable products in Malang City.</w:t>
      </w:r>
    </w:p>
    <w:p w14:paraId="00000009" w14:textId="033513BB" w:rsidR="00471656" w:rsidRDefault="00376A28" w:rsidP="00DF1FA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Green Lifestyle, </w:t>
      </w:r>
      <w:r w:rsidR="00DF1FAE">
        <w:rPr>
          <w:rFonts w:ascii="Times New Roman" w:eastAsia="Times New Roman" w:hAnsi="Times New Roman" w:cs="Times New Roman"/>
          <w:sz w:val="24"/>
          <w:szCs w:val="24"/>
        </w:rPr>
        <w:t>Green Purchase Decision</w:t>
      </w:r>
      <w:r w:rsidR="00DF1F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Green Trust</w:t>
      </w:r>
      <w:r w:rsidR="00DF1FAE">
        <w:rPr>
          <w:rFonts w:ascii="Times New Roman" w:eastAsia="Times New Roman" w:hAnsi="Times New Roman" w:cs="Times New Roman"/>
          <w:sz w:val="24"/>
          <w:szCs w:val="24"/>
        </w:rPr>
        <w:t>.</w:t>
      </w:r>
    </w:p>
    <w:p w14:paraId="283338B9" w14:textId="77777777" w:rsidR="00CD2842" w:rsidRDefault="00CD2842" w:rsidP="00DF1FAE">
      <w:pPr>
        <w:spacing w:before="240" w:after="240" w:line="240" w:lineRule="auto"/>
        <w:jc w:val="both"/>
        <w:rPr>
          <w:rFonts w:ascii="Times New Roman" w:eastAsia="Times New Roman" w:hAnsi="Times New Roman" w:cs="Times New Roman"/>
          <w:sz w:val="24"/>
          <w:szCs w:val="24"/>
        </w:rPr>
      </w:pPr>
    </w:p>
    <w:p w14:paraId="0000000A" w14:textId="77777777" w:rsidR="00471656" w:rsidRDefault="00376A28" w:rsidP="00DF1FA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00000B" w14:textId="77777777"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awareness and concern about the importance of a healthy and environmentally friendly lifestyle are increasing along with technological developments and the acceleration of information. Insights about the impact that arises from human consumption behavior on nature and body health have become popular common knowledge. In terms of food consumption, people are starting to realize the risks of using synthetic chemicals in agriculture. </w:t>
      </w:r>
      <w:proofErr w:type="spellStart"/>
      <w:r>
        <w:rPr>
          <w:rFonts w:ascii="Times New Roman" w:eastAsia="Times New Roman" w:hAnsi="Times New Roman" w:cs="Times New Roman"/>
          <w:sz w:val="24"/>
          <w:szCs w:val="24"/>
        </w:rPr>
        <w:t>Savale</w:t>
      </w:r>
      <w:proofErr w:type="spellEnd"/>
      <w:r>
        <w:rPr>
          <w:rFonts w:ascii="Times New Roman" w:eastAsia="Times New Roman" w:hAnsi="Times New Roman" w:cs="Times New Roman"/>
          <w:sz w:val="24"/>
          <w:szCs w:val="24"/>
        </w:rPr>
        <w:t xml:space="preserve"> et al. (2012) stated that consumers contribute to environmental degradation through the consumption of products that are not environmentally friendly and are even produced in a hazardous manner. This causes consumers to become more selective in determining the products they will consume, either for themselves or for the environment. Changes in consumer behavior that switch to environmentally friendly products are manifested in the green consumerism movement (Rakhmawati &amp; </w:t>
      </w:r>
      <w:proofErr w:type="spellStart"/>
      <w:r>
        <w:rPr>
          <w:rFonts w:ascii="Times New Roman" w:eastAsia="Times New Roman" w:hAnsi="Times New Roman" w:cs="Times New Roman"/>
          <w:sz w:val="24"/>
          <w:szCs w:val="24"/>
        </w:rPr>
        <w:t>Prasetyono</w:t>
      </w:r>
      <w:proofErr w:type="spellEnd"/>
      <w:r>
        <w:rPr>
          <w:rFonts w:ascii="Times New Roman" w:eastAsia="Times New Roman" w:hAnsi="Times New Roman" w:cs="Times New Roman"/>
          <w:sz w:val="24"/>
          <w:szCs w:val="24"/>
        </w:rPr>
        <w:t>, 2018). Environmentally friendly consumerism is a form of consumer awareness that fights for the right to obtain products that are green, proper, and safer to consume (</w:t>
      </w:r>
      <w:proofErr w:type="spellStart"/>
      <w:r>
        <w:rPr>
          <w:rFonts w:ascii="Times New Roman" w:eastAsia="Times New Roman" w:hAnsi="Times New Roman" w:cs="Times New Roman"/>
          <w:sz w:val="24"/>
          <w:szCs w:val="24"/>
        </w:rPr>
        <w:t>Silaban</w:t>
      </w:r>
      <w:proofErr w:type="spellEnd"/>
      <w:r>
        <w:rPr>
          <w:rFonts w:ascii="Times New Roman" w:eastAsia="Times New Roman" w:hAnsi="Times New Roman" w:cs="Times New Roman"/>
          <w:sz w:val="24"/>
          <w:szCs w:val="24"/>
        </w:rPr>
        <w:t>, 2019). Awareness of natural ecosystems and the importance of maintaining a healthy lifestyle eventually becomes a movement that goes hand in hand.</w:t>
      </w:r>
    </w:p>
    <w:p w14:paraId="0000000C" w14:textId="77777777"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Increasing knowledge of the importance of a healthy lifestyle ultimately encourages consumers to seek out alternative foods and beverages that support their lifestyle in a healthier direction (Givan &amp; </w:t>
      </w:r>
      <w:proofErr w:type="spellStart"/>
      <w:r>
        <w:rPr>
          <w:rFonts w:ascii="Times New Roman" w:eastAsia="Times New Roman" w:hAnsi="Times New Roman" w:cs="Times New Roman"/>
          <w:sz w:val="24"/>
          <w:szCs w:val="24"/>
        </w:rPr>
        <w:t>Winarno</w:t>
      </w:r>
      <w:proofErr w:type="spellEnd"/>
      <w:r>
        <w:rPr>
          <w:rFonts w:ascii="Times New Roman" w:eastAsia="Times New Roman" w:hAnsi="Times New Roman" w:cs="Times New Roman"/>
          <w:sz w:val="24"/>
          <w:szCs w:val="24"/>
        </w:rPr>
        <w:t xml:space="preserve">, 2019). Changes in consumption patterns during its development create opportunities for marketers in the field of organic food products. Organic products are considered as healthy products and play a role in preserving the environment. In Indonesia itself, there is an increasing popularity of environmentally friendly products and services (Genoveva &amp; </w:t>
      </w:r>
      <w:proofErr w:type="spellStart"/>
      <w:r>
        <w:rPr>
          <w:rFonts w:ascii="Times New Roman" w:eastAsia="Times New Roman" w:hAnsi="Times New Roman" w:cs="Times New Roman"/>
          <w:sz w:val="24"/>
          <w:szCs w:val="24"/>
        </w:rPr>
        <w:t>Syahrivar</w:t>
      </w:r>
      <w:proofErr w:type="spellEnd"/>
      <w:r>
        <w:rPr>
          <w:rFonts w:ascii="Times New Roman" w:eastAsia="Times New Roman" w:hAnsi="Times New Roman" w:cs="Times New Roman"/>
          <w:sz w:val="24"/>
          <w:szCs w:val="24"/>
        </w:rPr>
        <w:t>, 2020). Preference for environmentally friendly products that are 'greener' is also higher than conventional products (Nosi et al., 2020). Consumption patterns in certain contexts can reflect a person's lifestyle, and a green lifestyle that demonstrates a concern for health can also attract consumers to organic products.</w:t>
      </w:r>
    </w:p>
    <w:p w14:paraId="0000000D" w14:textId="77777777"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factors that can determine purchasing preferences for a product is trust. In the context of organic products, for example, consumers believe that organic products are processed without the use of materials that are harmful to the environment and are better able to maintain the health of their bodies. Organic foods in the form of vegetables, fruit, and whole grains have been shown to contribute more to reducing health risks because they contain only slight traces of pesticides and metals in smaller amounts than conventionally processed products. The qualifications for determining whether a product can be considered organic are: (1) without using synthetic fertilizers and not contaminated with chemical pesticides; (2) not the result of genetic engineering (Genetically Modified Organisms); (3) not using growth hormone at all; (4) not containing radiation; and (5) not using antibiotics for animal products such as eggs, poultry, dairy products, and beef (International Federation of Organic Agriculture Movements, 2018). Organic vegetables are a new choice that is believed to be safer and more nutritious than conventional vegetables because they are cultivated naturally without the use of chemicals when fertilizing or spraying pests, so they don't cause environmental damage. Knowledge about organic vegetables can increase consumer trust.</w:t>
      </w:r>
    </w:p>
    <w:p w14:paraId="0000000E" w14:textId="77777777"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trust factor is influenced by one of the green product attributes shown through eco-labeling. </w:t>
      </w:r>
      <w:proofErr w:type="spellStart"/>
      <w:r>
        <w:rPr>
          <w:rFonts w:ascii="Times New Roman" w:eastAsia="Times New Roman" w:hAnsi="Times New Roman" w:cs="Times New Roman"/>
          <w:sz w:val="24"/>
          <w:szCs w:val="24"/>
        </w:rPr>
        <w:t>Taufique</w:t>
      </w:r>
      <w:proofErr w:type="spellEnd"/>
      <w:r>
        <w:rPr>
          <w:rFonts w:ascii="Times New Roman" w:eastAsia="Times New Roman" w:hAnsi="Times New Roman" w:cs="Times New Roman"/>
          <w:sz w:val="24"/>
          <w:szCs w:val="24"/>
        </w:rPr>
        <w:t xml:space="preserve"> (2017) and Chen et al. (2015) stated that eco-label is a feature of a product that explains that the product has benefits in the form of a positive impact on the environment, increasing the trust of products with eco-labels among customers who care about the environment. Understanding eco-labels is of course also influenced by consumer insights about green consumerism and global issues regarding the environment, which are reflected in one's lifestyle.</w:t>
      </w:r>
    </w:p>
    <w:p w14:paraId="0000000F" w14:textId="77777777"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concepts of green lifestyle and green trust have changed the way consumers decide on a purchase. Sheng &amp; Ge (2019) explained that green purchase decisions are influenced by a consumer's perspective on ecosystem sustainability, including human health.</w:t>
      </w:r>
    </w:p>
    <w:p w14:paraId="00000010" w14:textId="77777777"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Kotler &amp; Keller (2012), lifestyle is a pattern of individual life shown through their daily activities as well as their interests and opinions regarding certain fields or issues. Lifestyle shows the individual as a whole when interacting with the environment. Setiadi (2008) also explains that individual lifestyles can be identified through how individuals carry out activities in their lives, what things they consider important in their environment, and their perceptions of themselves and their surroundings. Lifestyles are increasingly developing along with the progression of time, covering new lifestyles that shift from an anthropocentric perspective — human superiority over other living things — to become more </w:t>
      </w:r>
      <w:proofErr w:type="spellStart"/>
      <w:r>
        <w:rPr>
          <w:rFonts w:ascii="Times New Roman" w:eastAsia="Times New Roman" w:hAnsi="Times New Roman" w:cs="Times New Roman"/>
          <w:sz w:val="24"/>
          <w:szCs w:val="24"/>
        </w:rPr>
        <w:t>ecocentric</w:t>
      </w:r>
      <w:proofErr w:type="spellEnd"/>
      <w:r>
        <w:rPr>
          <w:rFonts w:ascii="Times New Roman" w:eastAsia="Times New Roman" w:hAnsi="Times New Roman" w:cs="Times New Roman"/>
          <w:sz w:val="24"/>
          <w:szCs w:val="24"/>
        </w:rPr>
        <w:t xml:space="preserve">, which places humans as part of a complex environmental network so that they are also responsible for maintaining the </w:t>
      </w:r>
      <w:r>
        <w:rPr>
          <w:rFonts w:ascii="Times New Roman" w:eastAsia="Times New Roman" w:hAnsi="Times New Roman" w:cs="Times New Roman"/>
          <w:sz w:val="24"/>
          <w:szCs w:val="24"/>
        </w:rPr>
        <w:lastRenderedPageBreak/>
        <w:t xml:space="preserve">sustainability of nature along with other species (Beekman, 2004). According to Lorenzen (2012), a green lifestyle is practiced by today's people who have the awareness to try to overcome various environmental problems, such as climate change and rising sea levels, resource pollution, and increasing the size of waste processing sites. </w:t>
      </w:r>
      <w:proofErr w:type="spellStart"/>
      <w:r>
        <w:rPr>
          <w:rFonts w:ascii="Times New Roman" w:eastAsia="Times New Roman" w:hAnsi="Times New Roman" w:cs="Times New Roman"/>
          <w:sz w:val="24"/>
          <w:szCs w:val="24"/>
        </w:rPr>
        <w:t>Irmawati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Waskito</w:t>
      </w:r>
      <w:proofErr w:type="spellEnd"/>
      <w:r>
        <w:rPr>
          <w:rFonts w:ascii="Times New Roman" w:eastAsia="Times New Roman" w:hAnsi="Times New Roman" w:cs="Times New Roman"/>
          <w:sz w:val="24"/>
          <w:szCs w:val="24"/>
        </w:rPr>
        <w:t xml:space="preserve"> (2013) analogize a green lifestyle as one that truly positions the earth as part of or partner in a living ecosystem, not just as an object that can be exploited in an effort to meet human needs. According to Serenata (2023), adopting an environmentally friendly lifestyle means making choices based on ecosystem sustainability about what should be consumed, how to travel efficiently, products that are safe to buy, and how consumers use products up to the disposal process. To analyze sustainable green lifestyle behavior, Onel et al. (2018) classify three types of consumers with different eco-friendly consumption methods: (1) holistic sustainable consumers; (2) transitional sustainable consumers; and (3) restricted sustainable consumers. Similar segmentation was also carried out by </w:t>
      </w:r>
      <w:proofErr w:type="spellStart"/>
      <w:r>
        <w:rPr>
          <w:rFonts w:ascii="Times New Roman" w:eastAsia="Times New Roman" w:hAnsi="Times New Roman" w:cs="Times New Roman"/>
          <w:sz w:val="24"/>
          <w:szCs w:val="24"/>
        </w:rPr>
        <w:t>Verain</w:t>
      </w:r>
      <w:proofErr w:type="spellEnd"/>
      <w:r>
        <w:rPr>
          <w:rFonts w:ascii="Times New Roman" w:eastAsia="Times New Roman" w:hAnsi="Times New Roman" w:cs="Times New Roman"/>
          <w:sz w:val="24"/>
          <w:szCs w:val="24"/>
        </w:rPr>
        <w:t xml:space="preserve"> et al. (2012), but more specifically into sustainable food consumption. Meanwhile, grouping and measuring lifestyle variables was carried out by Kotler (2002) using the psychographic method. Psychographics are analytical instruments that can function as a means of measuring lifestyle variables through quantitative methods and can be used to analyze large amounts of data (Jenkins &amp; Pell, 2006). Psychographics are often referred to as AIO (activities, interests, and opinions) measurements, which are measurements of consumers' lifestyles, including their activities, interests, and opinions on an issue. Psychographics contain statements for consumers that can describe their respective activities, interests, and opinions and will be used as a questionnaire instrument in this study.</w:t>
      </w:r>
    </w:p>
    <w:p w14:paraId="00000011" w14:textId="77777777"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Trust according to Chen (2012) is one of the main factors that can influence consumers to purchase a product. Increasing consumer confidence in a product is in line with the tendency to form a positive attitude towards the product or brand. Therefore, trust is buildable and must be proven. Afendi (2019) states that trust is a factor that is of great benefit in building relationships between consumers and certain producers or companies. Green trust itself can be defined as a will to consume environmentally friendly products based on the belief or hope that the product has credibility in efforts to preserve the environment and the health of its consumers. In the context of green products, companies that show involvement in environmentally friendly activities will increase consumer confidence in their products. The success of building green trust will reduce consumer doubts and have implications for increasing product purchasing behavior. With proper awareness of green products, the trust factor has the potential to drive consumers' purchasing decisions and has a direct impact on supporting sustainable development (Sh. Ahmad et al., 2022).</w:t>
      </w:r>
    </w:p>
    <w:p w14:paraId="00000012" w14:textId="77777777"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Purchasing decisions, according to Schiffman and Kanuk (2004), are basically a decision-making process involving two or more product alternatives that will be consumed by the individual. In the context of green products, more specifically, the selection is based on ethical considerations, knowledge, interests, and attitudes related to resource conservation as well as reducing negative impacts on the environment (Kaur et al., 2018). The green purchase decision is described as a decision to purchase a "green" product that simultaneously supports environmentally friendly company practices and approves of sustainable consumption practices (Carfora et al., 2019). Several previous studies have found a relationship between consumption of environmentally friendly food products and behavioral attitudes such as awareness of the environment and health, belief in organic food, and attraction to organic food attributes (Suki, 2019; Teng &amp; Wang, 2015; Xu et al., 2020). A positive attitude towards organic food is an additional aspect of showing positive purchase intentions and behavior (Lin et al., 2020). In the buying process, consumers will </w:t>
      </w:r>
      <w:r>
        <w:rPr>
          <w:rFonts w:ascii="Times New Roman" w:eastAsia="Times New Roman" w:hAnsi="Times New Roman" w:cs="Times New Roman"/>
          <w:sz w:val="24"/>
          <w:szCs w:val="24"/>
        </w:rPr>
        <w:lastRenderedPageBreak/>
        <w:t>evaluate products cognitively before deciding on a purchase. Purchases of eco-friendly or organic products will occur when consumers consider and expect that these products positively impact environmental preservation and consumer health.</w:t>
      </w:r>
    </w:p>
    <w:p w14:paraId="00000013" w14:textId="77777777" w:rsidR="00471656" w:rsidRDefault="00376A28" w:rsidP="00DF1FA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w:t>
      </w:r>
    </w:p>
    <w:p w14:paraId="00000014" w14:textId="77777777" w:rsidR="00471656" w:rsidRDefault="00376A28" w:rsidP="00DF1FA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proposes three hypotheses that will be proven in the research, namely:</w:t>
      </w:r>
    </w:p>
    <w:p w14:paraId="00000015" w14:textId="77777777" w:rsidR="00471656" w:rsidRDefault="00376A28" w:rsidP="00DF1FA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 Green lifestyle has a significant effect on green purchase decisions</w:t>
      </w:r>
    </w:p>
    <w:p w14:paraId="00000016" w14:textId="77777777" w:rsidR="00471656" w:rsidRDefault="00376A28" w:rsidP="00DF1FA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H2: Green trust has a significant effect on green purchase decisions</w:t>
      </w:r>
    </w:p>
    <w:p w14:paraId="00000017" w14:textId="77777777" w:rsidR="00471656" w:rsidRDefault="00376A28" w:rsidP="00DF1FA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H3: Green lifestyle and green trust which are carried out simultaneously have a significant influence on green purchase decisions</w:t>
      </w:r>
    </w:p>
    <w:p w14:paraId="00000018" w14:textId="32FD484F" w:rsidR="00471656" w:rsidRDefault="00376A28" w:rsidP="00DF1FA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was conducted using explanatory quantitative methods, namely quantitative research, to describe the relationships between variables that influence the hypotheses proposed in the study (</w:t>
      </w:r>
      <w:proofErr w:type="spellStart"/>
      <w:r>
        <w:rPr>
          <w:rFonts w:ascii="Times New Roman" w:eastAsia="Times New Roman" w:hAnsi="Times New Roman" w:cs="Times New Roman"/>
          <w:sz w:val="24"/>
          <w:szCs w:val="24"/>
        </w:rPr>
        <w:t>Sugiyono</w:t>
      </w:r>
      <w:proofErr w:type="spellEnd"/>
      <w:r>
        <w:rPr>
          <w:rFonts w:ascii="Times New Roman" w:eastAsia="Times New Roman" w:hAnsi="Times New Roman" w:cs="Times New Roman"/>
          <w:sz w:val="24"/>
          <w:szCs w:val="24"/>
        </w:rPr>
        <w:t>, 2016). The research instrument to be used is in the form of a questionnaire with a sample, using the required criteria to determine the number of samples to be analyzed. The sample criteria used in this study were consumers (male or female) in Malang City who had purchased organic vegetables. The sample is determined by non-probability sampling, which is a method that gives an unequal probability for each member of the population to become a research sample. This study took samples through the number of respondents to fulfill the minimum respondent requirements with the following calculations:</w:t>
      </w:r>
    </w:p>
    <w:p w14:paraId="00000019" w14:textId="77777777" w:rsidR="00471656" w:rsidRDefault="00376A28" w:rsidP="00DF1FA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Minimum sample</w:t>
      </w:r>
      <w:r>
        <w:rPr>
          <w:rFonts w:ascii="Times New Roman" w:eastAsia="Times New Roman" w:hAnsi="Times New Roman" w:cs="Times New Roman"/>
          <w:sz w:val="24"/>
          <w:szCs w:val="24"/>
        </w:rPr>
        <w:tab/>
        <w:t>= (number of indicators + number of latent variables) x (parameter estimation 5)</w:t>
      </w:r>
    </w:p>
    <w:p w14:paraId="0000001A" w14:textId="77777777" w:rsidR="00471656" w:rsidRDefault="00376A28" w:rsidP="00DF1FA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(11 + 3) x 5</w:t>
      </w:r>
    </w:p>
    <w:p w14:paraId="0000001B" w14:textId="77777777" w:rsidR="00471656" w:rsidRDefault="00376A28" w:rsidP="00DF1FAE">
      <w:pPr>
        <w:spacing w:before="240" w:after="24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70</w:t>
      </w:r>
    </w:p>
    <w:p w14:paraId="0000001C" w14:textId="77777777"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to be analyzed in this study falls under the category of primary data, and it consists of information gathered directly from consumers using a questionnaire that was created based on the indicators of each variable and contains several statements relating to the independent variables (green lifestyle, green trust) and the dependent variables (green purchase decisions). The research questionnaire as a data collection instrument was tested with validity and reliability testing techniques. Then the data that has been collected will be analyzed using multiple linear regression techniques through the hypothesis testing stage (t test and F test), then testing the determination coefficient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The multiple linear regression analysis method itself is used to investigate the influence of three or more variables, each of which consists of a dependent variable and two or more independent variables (</w:t>
      </w:r>
      <w:proofErr w:type="spellStart"/>
      <w:r>
        <w:rPr>
          <w:rFonts w:ascii="Times New Roman" w:eastAsia="Times New Roman" w:hAnsi="Times New Roman" w:cs="Times New Roman"/>
          <w:sz w:val="24"/>
          <w:szCs w:val="24"/>
        </w:rPr>
        <w:t>Ghozali</w:t>
      </w:r>
      <w:proofErr w:type="spellEnd"/>
      <w:r>
        <w:rPr>
          <w:rFonts w:ascii="Times New Roman" w:eastAsia="Times New Roman" w:hAnsi="Times New Roman" w:cs="Times New Roman"/>
          <w:sz w:val="24"/>
          <w:szCs w:val="24"/>
        </w:rPr>
        <w:t>, 2018).</w:t>
      </w:r>
    </w:p>
    <w:p w14:paraId="0000001D" w14:textId="77777777"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Hypothesis testing was carried out to measure the effect of the independent variables (green lifestyle and green trust) on the dependent variable (green purchase decision) simultaneously using the F test through a comparison of the calculated F values against F tables that were calculated before using IBM SPSS software ver. 25. The feasibility of the hypothesis will be achieved if the resulting value is a relevant number, in particular, if F count is greater than F table and the value </w:t>
      </w:r>
      <w:r>
        <w:rPr>
          <w:rFonts w:ascii="Times New Roman" w:eastAsia="Times New Roman" w:hAnsi="Times New Roman" w:cs="Times New Roman"/>
          <w:sz w:val="24"/>
          <w:szCs w:val="24"/>
        </w:rPr>
        <w:lastRenderedPageBreak/>
        <w:t>of Sig. is lower than 0.05. Whereas, the t test was conducted to measure the relationship between the independent variables and the dependent variable, expressing the significance of the relationship for each variable, and then a test was performed on the independent variables to determine the presence of the influence of the green lifestyle and green trust variables partially on the green purchase decision.</w:t>
      </w:r>
    </w:p>
    <w:p w14:paraId="0000001E" w14:textId="77777777" w:rsidR="00471656" w:rsidRDefault="00376A28" w:rsidP="00DF1FA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00000020" w14:textId="77777777"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linear regression analysis was used to test the effect of green lifestyle and green trust variables on green purchase decisions. The analysis was carried out with the help of IBM SPSS ver. 25, with the calculation results contained in the table below:</w:t>
      </w:r>
    </w:p>
    <w:p w14:paraId="00000021" w14:textId="77777777" w:rsidR="00471656" w:rsidRDefault="00376A28" w:rsidP="00DF1FAE">
      <w:pPr>
        <w:spacing w:before="240" w:after="24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Multiple Linear Regression</w:t>
      </w:r>
    </w:p>
    <w:p w14:paraId="0B4A831E" w14:textId="77777777" w:rsidR="00AF4F0B" w:rsidRDefault="00AF4F0B" w:rsidP="00DF1FAE">
      <w:pPr>
        <w:spacing w:line="240" w:lineRule="auto"/>
        <w:jc w:val="center"/>
        <w:rPr>
          <w:rFonts w:ascii="Times New Roman" w:hAnsi="Times New Roman" w:cs="Times New Roman"/>
          <w:sz w:val="24"/>
          <w:szCs w:val="24"/>
        </w:rPr>
      </w:pPr>
      <w:proofErr w:type="spellStart"/>
      <w:r w:rsidRPr="00FB2545">
        <w:rPr>
          <w:rFonts w:asciiTheme="majorBidi" w:hAnsiTheme="majorBidi" w:cstheme="majorBidi"/>
          <w:b/>
          <w:bCs/>
          <w:sz w:val="20"/>
          <w:szCs w:val="20"/>
        </w:rPr>
        <w:t>Coefficients</w:t>
      </w:r>
      <w:r w:rsidRPr="00FB2545">
        <w:rPr>
          <w:rFonts w:asciiTheme="majorBidi" w:hAnsiTheme="majorBidi" w:cstheme="majorBidi"/>
          <w:b/>
          <w:bCs/>
          <w:sz w:val="20"/>
          <w:szCs w:val="20"/>
          <w:vertAlign w:val="superscript"/>
        </w:rPr>
        <w:t>a</w:t>
      </w:r>
      <w:proofErr w:type="spellEnd"/>
    </w:p>
    <w:tbl>
      <w:tblPr>
        <w:tblStyle w:val="ListTable2"/>
        <w:tblW w:w="0" w:type="auto"/>
        <w:tblLook w:val="04A0" w:firstRow="1" w:lastRow="0" w:firstColumn="1" w:lastColumn="0" w:noHBand="0" w:noVBand="1"/>
      </w:tblPr>
      <w:tblGrid>
        <w:gridCol w:w="559"/>
        <w:gridCol w:w="2071"/>
        <w:gridCol w:w="1320"/>
        <w:gridCol w:w="1404"/>
        <w:gridCol w:w="1389"/>
        <w:gridCol w:w="1054"/>
        <w:gridCol w:w="1054"/>
      </w:tblGrid>
      <w:tr w:rsidR="00AF4F0B" w:rsidRPr="008C4B2A" w14:paraId="3323C08B" w14:textId="77777777" w:rsidTr="00D06AAE">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630" w:type="dxa"/>
            <w:gridSpan w:val="2"/>
            <w:vMerge w:val="restart"/>
            <w:shd w:val="clear" w:color="auto" w:fill="auto"/>
          </w:tcPr>
          <w:p w14:paraId="4494BB4A" w14:textId="77777777" w:rsidR="00AF4F0B" w:rsidRPr="008C4B2A" w:rsidRDefault="00AF4F0B" w:rsidP="00DF1FAE">
            <w:pPr>
              <w:pStyle w:val="ListParagraph"/>
              <w:ind w:left="0"/>
              <w:rPr>
                <w:rFonts w:asciiTheme="majorBidi" w:hAnsiTheme="majorBidi" w:cstheme="majorBidi"/>
                <w:sz w:val="20"/>
                <w:szCs w:val="20"/>
              </w:rPr>
            </w:pPr>
            <w:r>
              <w:rPr>
                <w:rFonts w:asciiTheme="majorBidi" w:hAnsiTheme="majorBidi" w:cstheme="majorBidi"/>
                <w:sz w:val="20"/>
                <w:szCs w:val="20"/>
              </w:rPr>
              <w:t>Model</w:t>
            </w:r>
          </w:p>
        </w:tc>
        <w:tc>
          <w:tcPr>
            <w:tcW w:w="2724" w:type="dxa"/>
            <w:gridSpan w:val="2"/>
            <w:shd w:val="clear" w:color="auto" w:fill="auto"/>
          </w:tcPr>
          <w:p w14:paraId="18E1D1DD" w14:textId="77777777" w:rsidR="00AF4F0B" w:rsidRPr="008C4B2A" w:rsidRDefault="00AF4F0B" w:rsidP="00DF1FA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Unstandardized Coefficients</w:t>
            </w:r>
          </w:p>
        </w:tc>
        <w:tc>
          <w:tcPr>
            <w:tcW w:w="1389" w:type="dxa"/>
            <w:shd w:val="clear" w:color="auto" w:fill="auto"/>
          </w:tcPr>
          <w:p w14:paraId="2A3CC5CE" w14:textId="77777777" w:rsidR="00AF4F0B" w:rsidRPr="008C4B2A" w:rsidRDefault="00AF4F0B" w:rsidP="00DF1FA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Standardized Coefficients</w:t>
            </w:r>
          </w:p>
        </w:tc>
        <w:tc>
          <w:tcPr>
            <w:tcW w:w="1054" w:type="dxa"/>
            <w:vMerge w:val="restart"/>
            <w:shd w:val="clear" w:color="auto" w:fill="auto"/>
          </w:tcPr>
          <w:p w14:paraId="787D445A" w14:textId="77777777" w:rsidR="00AF4F0B" w:rsidRDefault="00AF4F0B" w:rsidP="00DF1FA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t</w:t>
            </w:r>
          </w:p>
        </w:tc>
        <w:tc>
          <w:tcPr>
            <w:tcW w:w="1054" w:type="dxa"/>
            <w:vMerge w:val="restart"/>
            <w:shd w:val="clear" w:color="auto" w:fill="auto"/>
          </w:tcPr>
          <w:p w14:paraId="78B42CB3" w14:textId="77777777" w:rsidR="00AF4F0B" w:rsidRDefault="00AF4F0B" w:rsidP="00DF1FA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Sig.</w:t>
            </w:r>
          </w:p>
        </w:tc>
      </w:tr>
      <w:tr w:rsidR="00AF4F0B" w:rsidRPr="008C4B2A" w14:paraId="39A96C36" w14:textId="77777777" w:rsidTr="00D06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0" w:type="dxa"/>
            <w:gridSpan w:val="2"/>
            <w:vMerge/>
            <w:shd w:val="clear" w:color="auto" w:fill="auto"/>
          </w:tcPr>
          <w:p w14:paraId="7D9E7586" w14:textId="77777777" w:rsidR="00AF4F0B" w:rsidRPr="008C4B2A" w:rsidRDefault="00AF4F0B" w:rsidP="00DF1FAE">
            <w:pPr>
              <w:pStyle w:val="ListParagraph"/>
              <w:ind w:left="0"/>
              <w:jc w:val="both"/>
              <w:rPr>
                <w:rFonts w:asciiTheme="majorBidi" w:hAnsiTheme="majorBidi" w:cstheme="majorBidi"/>
                <w:sz w:val="20"/>
                <w:szCs w:val="20"/>
              </w:rPr>
            </w:pPr>
          </w:p>
        </w:tc>
        <w:tc>
          <w:tcPr>
            <w:tcW w:w="1320" w:type="dxa"/>
            <w:shd w:val="clear" w:color="auto" w:fill="auto"/>
          </w:tcPr>
          <w:p w14:paraId="430F9E80" w14:textId="77777777" w:rsidR="00AF4F0B" w:rsidRPr="00277E1C" w:rsidRDefault="00AF4F0B" w:rsidP="00DF1FA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B</w:t>
            </w:r>
          </w:p>
        </w:tc>
        <w:tc>
          <w:tcPr>
            <w:tcW w:w="1404" w:type="dxa"/>
            <w:shd w:val="clear" w:color="auto" w:fill="auto"/>
          </w:tcPr>
          <w:p w14:paraId="4940620D" w14:textId="77777777" w:rsidR="00AF4F0B" w:rsidRPr="00277E1C" w:rsidRDefault="00AF4F0B" w:rsidP="00DF1FA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Standard Error</w:t>
            </w:r>
          </w:p>
        </w:tc>
        <w:tc>
          <w:tcPr>
            <w:tcW w:w="1389" w:type="dxa"/>
            <w:shd w:val="clear" w:color="auto" w:fill="auto"/>
          </w:tcPr>
          <w:p w14:paraId="45FE667D" w14:textId="77777777" w:rsidR="00AF4F0B" w:rsidRPr="00277E1C" w:rsidRDefault="00AF4F0B" w:rsidP="00DF1FA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Beta</w:t>
            </w:r>
          </w:p>
        </w:tc>
        <w:tc>
          <w:tcPr>
            <w:tcW w:w="1054" w:type="dxa"/>
            <w:vMerge/>
            <w:shd w:val="clear" w:color="auto" w:fill="auto"/>
          </w:tcPr>
          <w:p w14:paraId="4BAE941D" w14:textId="77777777" w:rsidR="00AF4F0B" w:rsidRDefault="00AF4F0B" w:rsidP="00DF1FA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054" w:type="dxa"/>
            <w:vMerge/>
            <w:shd w:val="clear" w:color="auto" w:fill="auto"/>
          </w:tcPr>
          <w:p w14:paraId="0374FA0D" w14:textId="77777777" w:rsidR="00AF4F0B" w:rsidRDefault="00AF4F0B" w:rsidP="00DF1FA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AF4F0B" w:rsidRPr="008C4B2A" w14:paraId="6BB5C4D8" w14:textId="77777777" w:rsidTr="00D06AAE">
        <w:tc>
          <w:tcPr>
            <w:cnfStyle w:val="001000000000" w:firstRow="0" w:lastRow="0" w:firstColumn="1" w:lastColumn="0" w:oddVBand="0" w:evenVBand="0" w:oddHBand="0" w:evenHBand="0" w:firstRowFirstColumn="0" w:firstRowLastColumn="0" w:lastRowFirstColumn="0" w:lastRowLastColumn="0"/>
            <w:tcW w:w="559" w:type="dxa"/>
            <w:vMerge w:val="restart"/>
            <w:shd w:val="clear" w:color="auto" w:fill="auto"/>
          </w:tcPr>
          <w:p w14:paraId="33A922E4" w14:textId="77777777" w:rsidR="00AF4F0B" w:rsidRPr="00277E1C" w:rsidRDefault="00AF4F0B" w:rsidP="00DF1FAE">
            <w:pPr>
              <w:pStyle w:val="ListParagraph"/>
              <w:ind w:left="0"/>
              <w:jc w:val="both"/>
              <w:rPr>
                <w:rFonts w:asciiTheme="majorBidi" w:hAnsiTheme="majorBidi" w:cstheme="majorBidi"/>
                <w:sz w:val="20"/>
                <w:szCs w:val="20"/>
              </w:rPr>
            </w:pPr>
            <w:r>
              <w:rPr>
                <w:rFonts w:asciiTheme="majorBidi" w:hAnsiTheme="majorBidi" w:cstheme="majorBidi"/>
                <w:sz w:val="20"/>
                <w:szCs w:val="20"/>
              </w:rPr>
              <w:t>1</w:t>
            </w:r>
          </w:p>
        </w:tc>
        <w:tc>
          <w:tcPr>
            <w:tcW w:w="2071" w:type="dxa"/>
            <w:shd w:val="clear" w:color="auto" w:fill="auto"/>
          </w:tcPr>
          <w:p w14:paraId="7AAC6568" w14:textId="77777777" w:rsidR="00AF4F0B" w:rsidRPr="00277E1C" w:rsidRDefault="00AF4F0B" w:rsidP="00DF1FA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(Constant)</w:t>
            </w:r>
          </w:p>
        </w:tc>
        <w:tc>
          <w:tcPr>
            <w:tcW w:w="1320" w:type="dxa"/>
            <w:shd w:val="clear" w:color="auto" w:fill="auto"/>
          </w:tcPr>
          <w:p w14:paraId="42BB4C27" w14:textId="77777777" w:rsidR="00AF4F0B" w:rsidRPr="00277E1C" w:rsidRDefault="00AF4F0B" w:rsidP="00DF1FAE">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.701</w:t>
            </w:r>
          </w:p>
        </w:tc>
        <w:tc>
          <w:tcPr>
            <w:tcW w:w="1404" w:type="dxa"/>
            <w:shd w:val="clear" w:color="auto" w:fill="auto"/>
          </w:tcPr>
          <w:p w14:paraId="26655A4C" w14:textId="77777777" w:rsidR="00AF4F0B" w:rsidRPr="00277E1C" w:rsidRDefault="00AF4F0B" w:rsidP="00DF1FAE">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1.106</w:t>
            </w:r>
          </w:p>
        </w:tc>
        <w:tc>
          <w:tcPr>
            <w:tcW w:w="1389" w:type="dxa"/>
            <w:shd w:val="clear" w:color="auto" w:fill="auto"/>
          </w:tcPr>
          <w:p w14:paraId="1945DF31" w14:textId="77777777" w:rsidR="00AF4F0B" w:rsidRPr="008C4B2A" w:rsidRDefault="00AF4F0B" w:rsidP="00DF1FAE">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054" w:type="dxa"/>
            <w:shd w:val="clear" w:color="auto" w:fill="auto"/>
          </w:tcPr>
          <w:p w14:paraId="28901C84" w14:textId="77777777" w:rsidR="00AF4F0B" w:rsidRPr="008C4B2A" w:rsidRDefault="00AF4F0B" w:rsidP="00DF1FAE">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.634</w:t>
            </w:r>
          </w:p>
        </w:tc>
        <w:tc>
          <w:tcPr>
            <w:tcW w:w="1054" w:type="dxa"/>
            <w:shd w:val="clear" w:color="auto" w:fill="auto"/>
          </w:tcPr>
          <w:p w14:paraId="3BA2B2E5" w14:textId="77777777" w:rsidR="00AF4F0B" w:rsidRPr="008C4B2A" w:rsidRDefault="00AF4F0B" w:rsidP="00DF1FAE">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.527</w:t>
            </w:r>
          </w:p>
        </w:tc>
      </w:tr>
      <w:tr w:rsidR="00AF4F0B" w:rsidRPr="008C4B2A" w14:paraId="06B41A70" w14:textId="77777777" w:rsidTr="00D06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auto"/>
          </w:tcPr>
          <w:p w14:paraId="374D8183" w14:textId="77777777" w:rsidR="00AF4F0B" w:rsidRPr="008C4B2A" w:rsidRDefault="00AF4F0B" w:rsidP="00DF1FAE">
            <w:pPr>
              <w:pStyle w:val="ListParagraph"/>
              <w:ind w:left="0"/>
              <w:jc w:val="both"/>
              <w:rPr>
                <w:rFonts w:asciiTheme="majorBidi" w:hAnsiTheme="majorBidi" w:cstheme="majorBidi"/>
                <w:sz w:val="20"/>
                <w:szCs w:val="20"/>
              </w:rPr>
            </w:pPr>
          </w:p>
        </w:tc>
        <w:tc>
          <w:tcPr>
            <w:tcW w:w="2071" w:type="dxa"/>
            <w:shd w:val="clear" w:color="auto" w:fill="auto"/>
          </w:tcPr>
          <w:p w14:paraId="336E5FEC" w14:textId="77777777" w:rsidR="00AF4F0B" w:rsidRPr="00277E1C" w:rsidRDefault="00AF4F0B" w:rsidP="00DF1FA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Green Lifestyle</w:t>
            </w:r>
          </w:p>
        </w:tc>
        <w:tc>
          <w:tcPr>
            <w:tcW w:w="1320" w:type="dxa"/>
            <w:shd w:val="clear" w:color="auto" w:fill="auto"/>
          </w:tcPr>
          <w:p w14:paraId="2C62B8B4" w14:textId="77777777" w:rsidR="00AF4F0B" w:rsidRPr="00277E1C" w:rsidRDefault="00AF4F0B" w:rsidP="00DF1FAE">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.557</w:t>
            </w:r>
          </w:p>
        </w:tc>
        <w:tc>
          <w:tcPr>
            <w:tcW w:w="1404" w:type="dxa"/>
            <w:shd w:val="clear" w:color="auto" w:fill="auto"/>
          </w:tcPr>
          <w:p w14:paraId="62548E4E" w14:textId="77777777" w:rsidR="00AF4F0B" w:rsidRPr="00277E1C" w:rsidRDefault="00AF4F0B" w:rsidP="00DF1FAE">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0,038</w:t>
            </w:r>
          </w:p>
        </w:tc>
        <w:tc>
          <w:tcPr>
            <w:tcW w:w="1389" w:type="dxa"/>
            <w:shd w:val="clear" w:color="auto" w:fill="auto"/>
          </w:tcPr>
          <w:p w14:paraId="60E43A06" w14:textId="77777777" w:rsidR="00AF4F0B" w:rsidRPr="00277E1C" w:rsidRDefault="00AF4F0B" w:rsidP="00DF1FAE">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.834</w:t>
            </w:r>
          </w:p>
        </w:tc>
        <w:tc>
          <w:tcPr>
            <w:tcW w:w="1054" w:type="dxa"/>
            <w:shd w:val="clear" w:color="auto" w:fill="auto"/>
          </w:tcPr>
          <w:p w14:paraId="2E92E367" w14:textId="77777777" w:rsidR="00AF4F0B" w:rsidRDefault="00AF4F0B" w:rsidP="00DF1FAE">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7.472</w:t>
            </w:r>
          </w:p>
        </w:tc>
        <w:tc>
          <w:tcPr>
            <w:tcW w:w="1054" w:type="dxa"/>
            <w:shd w:val="clear" w:color="auto" w:fill="auto"/>
          </w:tcPr>
          <w:p w14:paraId="542ABD7C" w14:textId="77777777" w:rsidR="00AF4F0B" w:rsidRDefault="00AF4F0B" w:rsidP="00DF1FAE">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.000</w:t>
            </w:r>
          </w:p>
        </w:tc>
      </w:tr>
      <w:tr w:rsidR="00AF4F0B" w:rsidRPr="008C4B2A" w14:paraId="3144D641" w14:textId="77777777" w:rsidTr="00D06AAE">
        <w:tc>
          <w:tcPr>
            <w:cnfStyle w:val="001000000000" w:firstRow="0" w:lastRow="0" w:firstColumn="1" w:lastColumn="0" w:oddVBand="0" w:evenVBand="0" w:oddHBand="0" w:evenHBand="0" w:firstRowFirstColumn="0" w:firstRowLastColumn="0" w:lastRowFirstColumn="0" w:lastRowLastColumn="0"/>
            <w:tcW w:w="559" w:type="dxa"/>
            <w:vMerge/>
            <w:shd w:val="clear" w:color="auto" w:fill="auto"/>
          </w:tcPr>
          <w:p w14:paraId="4666ECBD" w14:textId="77777777" w:rsidR="00AF4F0B" w:rsidRPr="008C4B2A" w:rsidRDefault="00AF4F0B" w:rsidP="00DF1FAE">
            <w:pPr>
              <w:pStyle w:val="ListParagraph"/>
              <w:ind w:left="0"/>
              <w:jc w:val="both"/>
              <w:rPr>
                <w:rFonts w:asciiTheme="majorBidi" w:hAnsiTheme="majorBidi" w:cstheme="majorBidi"/>
                <w:sz w:val="20"/>
                <w:szCs w:val="20"/>
              </w:rPr>
            </w:pPr>
          </w:p>
        </w:tc>
        <w:tc>
          <w:tcPr>
            <w:tcW w:w="2071" w:type="dxa"/>
            <w:shd w:val="clear" w:color="auto" w:fill="auto"/>
          </w:tcPr>
          <w:p w14:paraId="7594F562" w14:textId="77777777" w:rsidR="00AF4F0B" w:rsidRPr="00277E1C" w:rsidRDefault="00AF4F0B" w:rsidP="00DF1FA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Green Trust</w:t>
            </w:r>
          </w:p>
        </w:tc>
        <w:tc>
          <w:tcPr>
            <w:tcW w:w="1320" w:type="dxa"/>
            <w:shd w:val="clear" w:color="auto" w:fill="auto"/>
          </w:tcPr>
          <w:p w14:paraId="6E96B1ED" w14:textId="77777777" w:rsidR="00AF4F0B" w:rsidRPr="00277E1C" w:rsidRDefault="00AF4F0B" w:rsidP="00DF1FAE">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1.061</w:t>
            </w:r>
          </w:p>
        </w:tc>
        <w:tc>
          <w:tcPr>
            <w:tcW w:w="1404" w:type="dxa"/>
            <w:shd w:val="clear" w:color="auto" w:fill="auto"/>
          </w:tcPr>
          <w:p w14:paraId="2634BEB8" w14:textId="77777777" w:rsidR="00AF4F0B" w:rsidRPr="00277E1C" w:rsidRDefault="00AF4F0B" w:rsidP="00DF1FAE">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.072</w:t>
            </w:r>
          </w:p>
        </w:tc>
        <w:tc>
          <w:tcPr>
            <w:tcW w:w="1389" w:type="dxa"/>
            <w:shd w:val="clear" w:color="auto" w:fill="auto"/>
          </w:tcPr>
          <w:p w14:paraId="508568CB" w14:textId="77777777" w:rsidR="00AF4F0B" w:rsidRPr="00277E1C" w:rsidRDefault="00AF4F0B" w:rsidP="00DF1FAE">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.832</w:t>
            </w:r>
          </w:p>
        </w:tc>
        <w:tc>
          <w:tcPr>
            <w:tcW w:w="1054" w:type="dxa"/>
            <w:shd w:val="clear" w:color="auto" w:fill="auto"/>
          </w:tcPr>
          <w:p w14:paraId="29120652" w14:textId="77777777" w:rsidR="00AF4F0B" w:rsidRDefault="00AF4F0B" w:rsidP="00DF1FAE">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7.348</w:t>
            </w:r>
          </w:p>
        </w:tc>
        <w:tc>
          <w:tcPr>
            <w:tcW w:w="1054" w:type="dxa"/>
            <w:shd w:val="clear" w:color="auto" w:fill="auto"/>
          </w:tcPr>
          <w:p w14:paraId="338931B6" w14:textId="77777777" w:rsidR="00AF4F0B" w:rsidRDefault="00AF4F0B" w:rsidP="00DF1FAE">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.000</w:t>
            </w:r>
          </w:p>
        </w:tc>
      </w:tr>
    </w:tbl>
    <w:p w14:paraId="00000025" w14:textId="7657255D" w:rsidR="00471656" w:rsidRDefault="00AF4F0B" w:rsidP="00DF1FAE">
      <w:pPr>
        <w:spacing w:line="240" w:lineRule="auto"/>
        <w:ind w:firstLine="142"/>
        <w:jc w:val="both"/>
        <w:rPr>
          <w:rFonts w:asciiTheme="majorBidi" w:hAnsiTheme="majorBidi" w:cstheme="majorBidi"/>
          <w:sz w:val="20"/>
          <w:szCs w:val="20"/>
        </w:rPr>
      </w:pPr>
      <w:r>
        <w:rPr>
          <w:rFonts w:asciiTheme="majorBidi" w:hAnsiTheme="majorBidi" w:cstheme="majorBidi"/>
          <w:sz w:val="20"/>
          <w:szCs w:val="20"/>
        </w:rPr>
        <w:t xml:space="preserve">a. </w:t>
      </w:r>
      <w:r w:rsidRPr="00277E1C">
        <w:rPr>
          <w:rFonts w:asciiTheme="majorBidi" w:hAnsiTheme="majorBidi" w:cstheme="majorBidi"/>
          <w:sz w:val="20"/>
          <w:szCs w:val="20"/>
        </w:rPr>
        <w:t xml:space="preserve">Dependent Variable: </w:t>
      </w:r>
      <w:r>
        <w:rPr>
          <w:rFonts w:asciiTheme="majorBidi" w:hAnsiTheme="majorBidi" w:cstheme="majorBidi"/>
          <w:sz w:val="20"/>
          <w:szCs w:val="20"/>
        </w:rPr>
        <w:t>Green Purchase Decision</w:t>
      </w:r>
    </w:p>
    <w:p w14:paraId="4DB16CFC" w14:textId="77777777" w:rsidR="00AF4F0B" w:rsidRPr="00AF4F0B" w:rsidRDefault="00AF4F0B" w:rsidP="00DF1FAE">
      <w:pPr>
        <w:spacing w:line="240" w:lineRule="auto"/>
        <w:ind w:firstLine="142"/>
        <w:jc w:val="both"/>
        <w:rPr>
          <w:rFonts w:asciiTheme="majorBidi" w:hAnsiTheme="majorBidi" w:cstheme="majorBidi"/>
          <w:sz w:val="20"/>
          <w:szCs w:val="20"/>
        </w:rPr>
      </w:pPr>
    </w:p>
    <w:p w14:paraId="00000026" w14:textId="77777777"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data shown in Table 1, the constant value of the multiple linear regression is 0.701, with the regression coefficient value of the green lifestyle variable being 0.557 and the regression coefficient value of the green trust variable being 1.061. So with reference to the double linear regression equation formula (Y = a + b1.X1 + b2.X2), the multiple linear regression equation can be formulated to be [green purchase decision = 0.701 + </w:t>
      </w:r>
      <w:proofErr w:type="gramStart"/>
      <w:r>
        <w:rPr>
          <w:rFonts w:ascii="Times New Roman" w:eastAsia="Times New Roman" w:hAnsi="Times New Roman" w:cs="Times New Roman"/>
          <w:sz w:val="24"/>
          <w:szCs w:val="24"/>
        </w:rPr>
        <w:t>0.557.green</w:t>
      </w:r>
      <w:proofErr w:type="gramEnd"/>
      <w:r>
        <w:rPr>
          <w:rFonts w:ascii="Times New Roman" w:eastAsia="Times New Roman" w:hAnsi="Times New Roman" w:cs="Times New Roman"/>
          <w:sz w:val="24"/>
          <w:szCs w:val="24"/>
        </w:rPr>
        <w:t xml:space="preserve"> lifestyle + 1.061.green trust]. The meaning of the multiple linear regression equation contains the following implications: (1) The constant 0.701 means that if the green lifestyle and green trust variables do not exist (X1 and X2 = 0), then the green purchase decision is at 0.701; (2) The regression coefficient X1 0.557 means that each addition or reduction of one point of the green lifestyle variable will increase or decrease the green purchase decision by 0.557 times, assuming that other variables do not change; (3) The regression coefficient X2 1.061 means that each addition or reduction of one point of the green trust variable will increase or decrease the green purchase decision by 1.061 times, assuming other variables do not change; (4) If there is an addition of one point on the green lifestyle and green trust variables together, then the green purchase decision will increase by 1,618 times (0.557 + 1.061).</w:t>
      </w:r>
    </w:p>
    <w:p w14:paraId="00000027" w14:textId="77777777" w:rsidR="00471656" w:rsidRDefault="00376A28" w:rsidP="00DF1FA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0B1300D5" w14:textId="77777777" w:rsidR="008A2E25"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testing was implemented in an effort to prove the hypothesis that has been proposed, namely the effect of the green lifestyle variable and the green trust variable on the green purchase decision variable for organic vegetable products in Malang City. The hypothesis in this study was tested using multiple linear regression analysis techniques via IBM SPSS ver. 25 software.</w:t>
      </w:r>
    </w:p>
    <w:p w14:paraId="0000002B" w14:textId="5358A732"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 is a partial influence of the independent variables (green lifestyle and green trust) in the model where the dependent variable (green purchase decision) can be identified through the t-test. The purpose of this test is to assess how influential each independent variable is in explaining variations in the dependent variable. The t-test is performed by determining if the calculated t value is greater than the t table and the significance value is less than 5% (sig. less than 0.05), then the conclusion is that the independent variables separately affect the dependent variable significantly. Based on the tests carried out, two results were obtained for each independent variable, as follows: (1) The green lifestyle variable yields a t value of 7,472 with a sig. of 0.000, indicating that the number of t values exceeds the number of t tables worth 1.995 and that the sig. is less than 0.05. Thus, it was found that there was a positive and significant influence of the green lifestyle variable on the green purchase decision of organic vegetables in Malang City. (2) The green trust variable yields a t value of 7,348 with a sig. of 0.000, indicating that the t value is greater than the t table of 1.995 and the sig. is smaller than 0.05. Thus, it was found that there was a significant positive influence of the green trust variable on the green purchase decision variable for organic vegetable products in Malang City.</w:t>
      </w:r>
    </w:p>
    <w:p w14:paraId="0000002C" w14:textId="77777777"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 of the green lifestyle variable on the green purchase decision (H1) variable above is in accordance with the results of the research by </w:t>
      </w:r>
      <w:proofErr w:type="spellStart"/>
      <w:r>
        <w:rPr>
          <w:rFonts w:ascii="Times New Roman" w:eastAsia="Times New Roman" w:hAnsi="Times New Roman" w:cs="Times New Roman"/>
          <w:sz w:val="24"/>
          <w:szCs w:val="24"/>
        </w:rPr>
        <w:t>Silaban</w:t>
      </w:r>
      <w:proofErr w:type="spellEnd"/>
      <w:r>
        <w:rPr>
          <w:rFonts w:ascii="Times New Roman" w:eastAsia="Times New Roman" w:hAnsi="Times New Roman" w:cs="Times New Roman"/>
          <w:sz w:val="24"/>
          <w:szCs w:val="24"/>
        </w:rPr>
        <w:t xml:space="preserve"> &amp; Annastasia (2019), which also found the existence of a green lifestyle effect as one of the combined aspects of environmentally friendly marketing towards the green purchase decision of The Body Shop products. Panjaitan &amp; Panjaitan (2020) also found that lifestyle is the main variable that determines the decision to purchase sports products. Meanwhile, </w:t>
      </w:r>
      <w:proofErr w:type="spellStart"/>
      <w:r>
        <w:rPr>
          <w:rFonts w:ascii="Times New Roman" w:eastAsia="Times New Roman" w:hAnsi="Times New Roman" w:cs="Times New Roman"/>
          <w:sz w:val="24"/>
          <w:szCs w:val="24"/>
        </w:rPr>
        <w:t>Ekasari</w:t>
      </w:r>
      <w:proofErr w:type="spellEnd"/>
      <w:r>
        <w:rPr>
          <w:rFonts w:ascii="Times New Roman" w:eastAsia="Times New Roman" w:hAnsi="Times New Roman" w:cs="Times New Roman"/>
          <w:sz w:val="24"/>
          <w:szCs w:val="24"/>
        </w:rPr>
        <w:t xml:space="preserve"> &amp; Jaya (2021) also found a green lifestyle effect in green purchase decisions for healthy food products. Then the next finding, namely the effect of the trust variable on environmentally friendly purchasing decisions (H2), is also in line with the findings of Afendi's research (2019), regarding the existence of a positive effect of green trust in mediating the effect of the green perceived value and green perceived quality variables on the green purchase decision variable significantly as an aspect of the green purchase behavior variable. Fauziah &amp; </w:t>
      </w:r>
      <w:proofErr w:type="spellStart"/>
      <w:r>
        <w:rPr>
          <w:rFonts w:ascii="Times New Roman" w:eastAsia="Times New Roman" w:hAnsi="Times New Roman" w:cs="Times New Roman"/>
          <w:sz w:val="24"/>
          <w:szCs w:val="24"/>
        </w:rPr>
        <w:t>Quoquab</w:t>
      </w:r>
      <w:proofErr w:type="spellEnd"/>
      <w:r>
        <w:rPr>
          <w:rFonts w:ascii="Times New Roman" w:eastAsia="Times New Roman" w:hAnsi="Times New Roman" w:cs="Times New Roman"/>
          <w:sz w:val="24"/>
          <w:szCs w:val="24"/>
        </w:rPr>
        <w:t xml:space="preserve"> (2021) also found that the effect of green trust on green purchase decisions is partial, but there is no simultaneous effect with other variables such as awareness of environmental quality, environmental attitude, and green self-efficacy.</w:t>
      </w:r>
    </w:p>
    <w:p w14:paraId="0000002E" w14:textId="77777777"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simultaneous existence of the effect of the independent variables (green lifestyle and green trust) on the dependent variable (green purchase decision) was measured through the F test. Based on the test results, a total F value of 197,839 was obtained with a sig. of 0.000. These numbers show that the F value is greater than the F table number of 2,720 and the sig. is lower than 5/100 (0.05), which means that the green lifestyle and green trust variables simultaneously have a significant influence on the green purchase decision variable. The findings of this study are in accordance with the results of the study of </w:t>
      </w:r>
      <w:proofErr w:type="spellStart"/>
      <w:r>
        <w:rPr>
          <w:rFonts w:ascii="Times New Roman" w:eastAsia="Times New Roman" w:hAnsi="Times New Roman" w:cs="Times New Roman"/>
          <w:sz w:val="24"/>
          <w:szCs w:val="24"/>
        </w:rPr>
        <w:t>Hediono</w:t>
      </w:r>
      <w:proofErr w:type="spellEnd"/>
      <w:r>
        <w:rPr>
          <w:rFonts w:ascii="Times New Roman" w:eastAsia="Times New Roman" w:hAnsi="Times New Roman" w:cs="Times New Roman"/>
          <w:sz w:val="24"/>
          <w:szCs w:val="24"/>
        </w:rPr>
        <w:t xml:space="preserve"> et al. (2022), which found that lifestyle and trust variables simultaneously have a significant positive influence on purchase decisions in the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Hidroponik</w:t>
      </w:r>
      <w:proofErr w:type="spellEnd"/>
      <w:r>
        <w:rPr>
          <w:rFonts w:ascii="Times New Roman" w:eastAsia="Times New Roman" w:hAnsi="Times New Roman" w:cs="Times New Roman"/>
          <w:sz w:val="24"/>
          <w:szCs w:val="24"/>
        </w:rPr>
        <w:t xml:space="preserve"> Solo Raya (Solo Raya Hydroponic Community), which is included in the green consumer category.</w:t>
      </w:r>
    </w:p>
    <w:p w14:paraId="00000030" w14:textId="77777777"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coefficient of determination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test, the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result is 0.806 and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0.802. The results show that the green lifestyle and green trust variables play a role in affecting the green purchase decision variable for organic vegetable products in Malang City by 80.2%. While the remaining 19.8% is determined by other variables that are not studied in this research study.</w:t>
      </w:r>
    </w:p>
    <w:p w14:paraId="00000031" w14:textId="77777777" w:rsidR="00471656" w:rsidRDefault="00376A28" w:rsidP="00DF1FA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CONCLUSION</w:t>
      </w:r>
    </w:p>
    <w:p w14:paraId="00000044" w14:textId="556DB621" w:rsidR="00471656" w:rsidRDefault="00376A28" w:rsidP="00A6159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discussion of the research outcomes regarding the effect of green lifestyle and green trust variables on the green purchase decision variable of organic vegetable products in Malang City, several conclusions can be drawn to answer the research objectives, including: (1) There is a significant effect of green lifestyle variables on the green purchase decision variable; (2) There is a significant effect of the green trust variable on the green purchase decision variable; and (3) There is a significant effect of the green lifestyle and green trust variables on the green purchase decision together. Meanwhile, from the results of the determination coefficient test, it is also known that there are additional factors that may influence environmentally friendly purchases of organic vegetables in Malang City that were not analyzed in this study but could potentially be the subject of future research.</w:t>
      </w:r>
    </w:p>
    <w:p w14:paraId="00000045" w14:textId="77777777" w:rsidR="00471656" w:rsidRDefault="00471656" w:rsidP="00DF1FAE">
      <w:pPr>
        <w:spacing w:before="240" w:after="240" w:line="240" w:lineRule="auto"/>
        <w:jc w:val="both"/>
        <w:rPr>
          <w:rFonts w:ascii="Times New Roman" w:eastAsia="Times New Roman" w:hAnsi="Times New Roman" w:cs="Times New Roman"/>
          <w:b/>
          <w:sz w:val="24"/>
          <w:szCs w:val="24"/>
        </w:rPr>
      </w:pPr>
    </w:p>
    <w:p w14:paraId="00000046" w14:textId="77777777" w:rsidR="00471656" w:rsidRDefault="00376A28" w:rsidP="00DF1FA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00000047"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Alamsyah</w:t>
      </w:r>
      <w:proofErr w:type="spellEnd"/>
      <w:r>
        <w:rPr>
          <w:rFonts w:ascii="Times New Roman" w:eastAsia="Times New Roman" w:hAnsi="Times New Roman" w:cs="Times New Roman"/>
          <w:sz w:val="24"/>
          <w:szCs w:val="24"/>
        </w:rPr>
        <w:t xml:space="preserve"> D. P., </w:t>
      </w:r>
      <w:proofErr w:type="spellStart"/>
      <w:r>
        <w:rPr>
          <w:rFonts w:ascii="Times New Roman" w:eastAsia="Times New Roman" w:hAnsi="Times New Roman" w:cs="Times New Roman"/>
          <w:sz w:val="24"/>
          <w:szCs w:val="24"/>
        </w:rPr>
        <w:t>Mulyani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Udjaja</w:t>
      </w:r>
      <w:proofErr w:type="spellEnd"/>
      <w:r>
        <w:rPr>
          <w:rFonts w:ascii="Times New Roman" w:eastAsia="Times New Roman" w:hAnsi="Times New Roman" w:cs="Times New Roman"/>
          <w:sz w:val="24"/>
          <w:szCs w:val="24"/>
        </w:rPr>
        <w:t xml:space="preserve"> Y., Othman N. A. &amp; Ibrahim N. R. W. (2020). Green Customer behavior: Mediation Model of Green Purchase. International Journal of Psychosocial Rehabilitation, 24(5), 2568-2577. DOI: 10.37200/IJPR/V24I5/PR201956</w:t>
      </w:r>
    </w:p>
    <w:p w14:paraId="00000048"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Afendi, Arif. (2019). Peran Green Trust dalam </w:t>
      </w:r>
      <w:proofErr w:type="spellStart"/>
      <w:r>
        <w:rPr>
          <w:rFonts w:ascii="Times New Roman" w:eastAsia="Times New Roman" w:hAnsi="Times New Roman" w:cs="Times New Roman"/>
          <w:sz w:val="24"/>
          <w:szCs w:val="24"/>
        </w:rPr>
        <w:t>Memediasi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Green Perceived Value dan Green Perceived Quality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Green Purchase Behavior. Optimum: Jurnal Ekonomi dan Pembangunan, 9 (1), 45-60.</w:t>
      </w:r>
    </w:p>
    <w:p w14:paraId="00000049"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Beekman, V. (2004). Sustainable development and future generations. Journal of Agricultural and Environmental Ethics, 17(1), 3.</w:t>
      </w:r>
    </w:p>
    <w:p w14:paraId="0000004A"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Carfora, V., </w:t>
      </w:r>
      <w:proofErr w:type="spellStart"/>
      <w:r>
        <w:rPr>
          <w:rFonts w:ascii="Times New Roman" w:eastAsia="Times New Roman" w:hAnsi="Times New Roman" w:cs="Times New Roman"/>
          <w:sz w:val="24"/>
          <w:szCs w:val="24"/>
        </w:rPr>
        <w:t>Catellani</w:t>
      </w:r>
      <w:proofErr w:type="spellEnd"/>
      <w:r>
        <w:rPr>
          <w:rFonts w:ascii="Times New Roman" w:eastAsia="Times New Roman" w:hAnsi="Times New Roman" w:cs="Times New Roman"/>
          <w:sz w:val="24"/>
          <w:szCs w:val="24"/>
        </w:rPr>
        <w:t>, P., Caso, D., &amp; Conner, M. (2019). How To Reduce Red and Processed Meat Consumption by Daily Text Messages Targeting Environment or Health Benefits. Journal of Environmental Psychology, 65, 101319.</w:t>
      </w:r>
      <w:hyperlink r:id="rId5">
        <w:r>
          <w:rPr>
            <w:rFonts w:ascii="Times New Roman" w:eastAsia="Times New Roman" w:hAnsi="Times New Roman" w:cs="Times New Roman"/>
            <w:sz w:val="24"/>
            <w:szCs w:val="24"/>
          </w:rPr>
          <w:t xml:space="preserve"> </w:t>
        </w:r>
      </w:hyperlink>
      <w:hyperlink r:id="rId6">
        <w:r>
          <w:rPr>
            <w:rFonts w:ascii="Times New Roman" w:eastAsia="Times New Roman" w:hAnsi="Times New Roman" w:cs="Times New Roman"/>
            <w:color w:val="1155CC"/>
            <w:sz w:val="24"/>
            <w:szCs w:val="24"/>
            <w:u w:val="single"/>
          </w:rPr>
          <w:t>https://doi.org/10.1016/j.jenvp.2019.101319</w:t>
        </w:r>
      </w:hyperlink>
    </w:p>
    <w:p w14:paraId="0000004B"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Chen, Y. S., &amp; Chang, C. H. (2012). Enhance Green Purchase Intentions: The Roles of Green Perceived Value, Green Perceived Risk, and Green Trust. Management Decision, 50(3), 502-520.</w:t>
      </w:r>
      <w:hyperlink r:id="rId7">
        <w:r>
          <w:rPr>
            <w:rFonts w:ascii="Times New Roman" w:eastAsia="Times New Roman" w:hAnsi="Times New Roman" w:cs="Times New Roman"/>
            <w:sz w:val="24"/>
            <w:szCs w:val="24"/>
          </w:rPr>
          <w:t xml:space="preserve"> </w:t>
        </w:r>
      </w:hyperlink>
      <w:hyperlink r:id="rId8">
        <w:r>
          <w:rPr>
            <w:rFonts w:ascii="Times New Roman" w:eastAsia="Times New Roman" w:hAnsi="Times New Roman" w:cs="Times New Roman"/>
            <w:color w:val="1155CC"/>
            <w:sz w:val="24"/>
            <w:szCs w:val="24"/>
            <w:u w:val="single"/>
          </w:rPr>
          <w:t>https://doi.org/10.1108/00251741211216250</w:t>
        </w:r>
      </w:hyperlink>
    </w:p>
    <w:p w14:paraId="0000004C"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Chen, Y. S., Lin, C. Y., &amp; Weng, C. S. (2015). The influence of environmental friendliness on green trust: The mediation effects of green satisfaction and green perceived quality. Sustainability, 7(8), 10135-10152.</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color w:val="1155CC"/>
            <w:sz w:val="24"/>
            <w:szCs w:val="24"/>
            <w:u w:val="single"/>
          </w:rPr>
          <w:t>https://doi.org/10.3390/su70810135</w:t>
        </w:r>
      </w:hyperlink>
    </w:p>
    <w:p w14:paraId="0000004D"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Genoveva, G., &amp; </w:t>
      </w:r>
      <w:proofErr w:type="spellStart"/>
      <w:r>
        <w:rPr>
          <w:rFonts w:ascii="Times New Roman" w:eastAsia="Times New Roman" w:hAnsi="Times New Roman" w:cs="Times New Roman"/>
          <w:sz w:val="24"/>
          <w:szCs w:val="24"/>
        </w:rPr>
        <w:t>Syahrivar</w:t>
      </w:r>
      <w:proofErr w:type="spellEnd"/>
      <w:r>
        <w:rPr>
          <w:rFonts w:ascii="Times New Roman" w:eastAsia="Times New Roman" w:hAnsi="Times New Roman" w:cs="Times New Roman"/>
          <w:sz w:val="24"/>
          <w:szCs w:val="24"/>
        </w:rPr>
        <w:t>, J. (2020). Green lifestyle among Indonesian millennials: a comparative study between Asia and Europe. Journal of Environmental Accounting and Management, 8(4), 397-413. DOI: 10.5890/JEAM.2020.12.007</w:t>
      </w:r>
    </w:p>
    <w:p w14:paraId="0000004E"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Ghozali</w:t>
      </w:r>
      <w:proofErr w:type="spellEnd"/>
      <w:r>
        <w:rPr>
          <w:rFonts w:ascii="Times New Roman" w:eastAsia="Times New Roman" w:hAnsi="Times New Roman" w:cs="Times New Roman"/>
          <w:sz w:val="24"/>
          <w:szCs w:val="24"/>
        </w:rPr>
        <w:t xml:space="preserve">, I. (2018).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Multivariate dengan Program IBM SPSS 25. Semarang: Badan </w:t>
      </w:r>
      <w:proofErr w:type="spellStart"/>
      <w:r>
        <w:rPr>
          <w:rFonts w:ascii="Times New Roman" w:eastAsia="Times New Roman" w:hAnsi="Times New Roman" w:cs="Times New Roman"/>
          <w:sz w:val="24"/>
          <w:szCs w:val="24"/>
        </w:rPr>
        <w:t>Penerbit</w:t>
      </w:r>
      <w:proofErr w:type="spellEnd"/>
      <w:r>
        <w:rPr>
          <w:rFonts w:ascii="Times New Roman" w:eastAsia="Times New Roman" w:hAnsi="Times New Roman" w:cs="Times New Roman"/>
          <w:sz w:val="24"/>
          <w:szCs w:val="24"/>
        </w:rPr>
        <w:t xml:space="preserve"> Universitas </w:t>
      </w:r>
      <w:proofErr w:type="spellStart"/>
      <w:r>
        <w:rPr>
          <w:rFonts w:ascii="Times New Roman" w:eastAsia="Times New Roman" w:hAnsi="Times New Roman" w:cs="Times New Roman"/>
          <w:sz w:val="24"/>
          <w:szCs w:val="24"/>
        </w:rPr>
        <w:t>Diponegoro</w:t>
      </w:r>
      <w:proofErr w:type="spellEnd"/>
      <w:r>
        <w:rPr>
          <w:rFonts w:ascii="Times New Roman" w:eastAsia="Times New Roman" w:hAnsi="Times New Roman" w:cs="Times New Roman"/>
          <w:sz w:val="24"/>
          <w:szCs w:val="24"/>
        </w:rPr>
        <w:t>.</w:t>
      </w:r>
    </w:p>
    <w:p w14:paraId="0000004F"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Givan, B., &amp; </w:t>
      </w:r>
      <w:proofErr w:type="spellStart"/>
      <w:r>
        <w:rPr>
          <w:rFonts w:ascii="Times New Roman" w:eastAsia="Times New Roman" w:hAnsi="Times New Roman" w:cs="Times New Roman"/>
          <w:sz w:val="24"/>
          <w:szCs w:val="24"/>
        </w:rPr>
        <w:t>Winarno</w:t>
      </w:r>
      <w:proofErr w:type="spellEnd"/>
      <w:r>
        <w:rPr>
          <w:rFonts w:ascii="Times New Roman" w:eastAsia="Times New Roman" w:hAnsi="Times New Roman" w:cs="Times New Roman"/>
          <w:sz w:val="24"/>
          <w:szCs w:val="24"/>
        </w:rPr>
        <w:t xml:space="preserve"> S. H., (2019). Green Product dan Gaya Hidup </w:t>
      </w:r>
      <w:proofErr w:type="spellStart"/>
      <w:r>
        <w:rPr>
          <w:rFonts w:ascii="Times New Roman" w:eastAsia="Times New Roman" w:hAnsi="Times New Roman" w:cs="Times New Roman"/>
          <w:sz w:val="24"/>
          <w:szCs w:val="24"/>
        </w:rPr>
        <w:t>Pengaruhnya</w:t>
      </w:r>
      <w:proofErr w:type="spellEnd"/>
      <w:r>
        <w:rPr>
          <w:rFonts w:ascii="Times New Roman" w:eastAsia="Times New Roman" w:hAnsi="Times New Roman" w:cs="Times New Roman"/>
          <w:sz w:val="24"/>
          <w:szCs w:val="24"/>
        </w:rPr>
        <w:t xml:space="preserve"> pada Keputusan </w:t>
      </w:r>
      <w:proofErr w:type="spellStart"/>
      <w:r>
        <w:rPr>
          <w:rFonts w:ascii="Times New Roman" w:eastAsia="Times New Roman" w:hAnsi="Times New Roman" w:cs="Times New Roman"/>
          <w:sz w:val="24"/>
          <w:szCs w:val="24"/>
        </w:rPr>
        <w:t>Pembelian</w:t>
      </w:r>
      <w:proofErr w:type="spellEnd"/>
      <w:r>
        <w:rPr>
          <w:rFonts w:ascii="Times New Roman" w:eastAsia="Times New Roman" w:hAnsi="Times New Roman" w:cs="Times New Roman"/>
          <w:sz w:val="24"/>
          <w:szCs w:val="24"/>
        </w:rPr>
        <w:t xml:space="preserve"> (Studi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Natural Coffee). Jurnal </w:t>
      </w:r>
      <w:proofErr w:type="spellStart"/>
      <w:r>
        <w:rPr>
          <w:rFonts w:ascii="Times New Roman" w:eastAsia="Times New Roman" w:hAnsi="Times New Roman" w:cs="Times New Roman"/>
          <w:sz w:val="24"/>
          <w:szCs w:val="24"/>
        </w:rPr>
        <w:t>Ecodemica</w:t>
      </w:r>
      <w:proofErr w:type="spellEnd"/>
      <w:r>
        <w:rPr>
          <w:rFonts w:ascii="Times New Roman" w:eastAsia="Times New Roman" w:hAnsi="Times New Roman" w:cs="Times New Roman"/>
          <w:sz w:val="24"/>
          <w:szCs w:val="24"/>
        </w:rPr>
        <w:t>, 3(1), 2355-0295.</w:t>
      </w:r>
    </w:p>
    <w:p w14:paraId="00000050"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Federation of Organic Agriculture Movements. (2018). </w:t>
      </w:r>
      <w:proofErr w:type="spellStart"/>
      <w:r>
        <w:rPr>
          <w:rFonts w:ascii="Times New Roman" w:eastAsia="Times New Roman" w:hAnsi="Times New Roman" w:cs="Times New Roman"/>
          <w:sz w:val="24"/>
          <w:szCs w:val="24"/>
        </w:rPr>
        <w:t>Persyaratan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Pangan </w:t>
      </w:r>
      <w:proofErr w:type="spellStart"/>
      <w:r>
        <w:rPr>
          <w:rFonts w:ascii="Times New Roman" w:eastAsia="Times New Roman" w:hAnsi="Times New Roman" w:cs="Times New Roman"/>
          <w:sz w:val="24"/>
          <w:szCs w:val="24"/>
        </w:rPr>
        <w:t>Organik</w:t>
      </w:r>
      <w:proofErr w:type="spellEnd"/>
      <w:r>
        <w:rPr>
          <w:rFonts w:ascii="Times New Roman" w:eastAsia="Times New Roman" w:hAnsi="Times New Roman" w:cs="Times New Roman"/>
          <w:sz w:val="24"/>
          <w:szCs w:val="24"/>
        </w:rPr>
        <w:t>. Jakarta: IFOAM</w:t>
      </w:r>
    </w:p>
    <w:p w14:paraId="00000051"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Irmawati</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Waskito</w:t>
      </w:r>
      <w:proofErr w:type="spellEnd"/>
      <w:r>
        <w:rPr>
          <w:rFonts w:ascii="Times New Roman" w:eastAsia="Times New Roman" w:hAnsi="Times New Roman" w:cs="Times New Roman"/>
          <w:sz w:val="24"/>
          <w:szCs w:val="24"/>
        </w:rPr>
        <w:t xml:space="preserve">, J. (2013). Green lifestyle </w:t>
      </w:r>
      <w:proofErr w:type="spellStart"/>
      <w:r>
        <w:rPr>
          <w:rFonts w:ascii="Times New Roman" w:eastAsia="Times New Roman" w:hAnsi="Times New Roman" w:cs="Times New Roman"/>
          <w:sz w:val="24"/>
          <w:szCs w:val="24"/>
        </w:rPr>
        <w:t>warga</w:t>
      </w:r>
      <w:proofErr w:type="spellEnd"/>
      <w:r>
        <w:rPr>
          <w:rFonts w:ascii="Times New Roman" w:eastAsia="Times New Roman" w:hAnsi="Times New Roman" w:cs="Times New Roman"/>
          <w:sz w:val="24"/>
          <w:szCs w:val="24"/>
        </w:rPr>
        <w:t xml:space="preserve"> Kota Solo. Benefit: Jurnal Manajemen dan Bisnis, 16(1), 47-57.</w:t>
      </w:r>
    </w:p>
    <w:p w14:paraId="00000052"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Jenkins, E. W., &amp; Pell, R. G. (2006). Me and the environmental challenges: A survey of English secondary school students’ attitudes towards the environment. International Journal of science education, 28(7), 765-780.</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color w:val="1155CC"/>
            <w:sz w:val="24"/>
            <w:szCs w:val="24"/>
            <w:u w:val="single"/>
          </w:rPr>
          <w:t>https://doi.org/10.1080/09500690500498336</w:t>
        </w:r>
      </w:hyperlink>
    </w:p>
    <w:p w14:paraId="00000053"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Kaur, J., Duggal, V., &amp; Suri, S. (2018). To study the factors effecting purchase of green products and their relation to the purchase decision of green products for generation Z in India. Journal of Asia Entrepreneurship and Sustainability, 14(2), 21-63.</w:t>
      </w:r>
    </w:p>
    <w:p w14:paraId="00000054"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Philip. (2002). Marketing Management. New Jersey: Prentice-Hall Inc.</w:t>
      </w:r>
    </w:p>
    <w:p w14:paraId="00000055"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Kotler, P., &amp; Keller, K. L. (2012). Manajemen </w:t>
      </w:r>
      <w:proofErr w:type="spellStart"/>
      <w:r>
        <w:rPr>
          <w:rFonts w:ascii="Times New Roman" w:eastAsia="Times New Roman" w:hAnsi="Times New Roman" w:cs="Times New Roman"/>
          <w:sz w:val="24"/>
          <w:szCs w:val="24"/>
        </w:rPr>
        <w:t>Pemasaran</w:t>
      </w:r>
      <w:proofErr w:type="spellEnd"/>
      <w:r>
        <w:rPr>
          <w:rFonts w:ascii="Times New Roman" w:eastAsia="Times New Roman" w:hAnsi="Times New Roman" w:cs="Times New Roman"/>
          <w:sz w:val="24"/>
          <w:szCs w:val="24"/>
        </w:rPr>
        <w:t xml:space="preserve"> (12th ed.). Jakarta: </w:t>
      </w:r>
      <w:proofErr w:type="spellStart"/>
      <w:r>
        <w:rPr>
          <w:rFonts w:ascii="Times New Roman" w:eastAsia="Times New Roman" w:hAnsi="Times New Roman" w:cs="Times New Roman"/>
          <w:sz w:val="24"/>
          <w:szCs w:val="24"/>
        </w:rPr>
        <w:t>Erlangga</w:t>
      </w:r>
      <w:proofErr w:type="spellEnd"/>
      <w:r>
        <w:rPr>
          <w:rFonts w:ascii="Times New Roman" w:eastAsia="Times New Roman" w:hAnsi="Times New Roman" w:cs="Times New Roman"/>
          <w:sz w:val="24"/>
          <w:szCs w:val="24"/>
        </w:rPr>
        <w:t>.</w:t>
      </w:r>
    </w:p>
    <w:p w14:paraId="00000056"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Lin, J., Guo, J., Turel, O., &amp; Liu, S. (2020). Purchasing organic food with social commerce: An integrated food-technology consumption values perspective. International Journal of Information Management, 51, 102033.</w:t>
      </w:r>
      <w:hyperlink r:id="rId13">
        <w:r>
          <w:rPr>
            <w:rFonts w:ascii="Times New Roman" w:eastAsia="Times New Roman" w:hAnsi="Times New Roman" w:cs="Times New Roman"/>
            <w:sz w:val="24"/>
            <w:szCs w:val="24"/>
          </w:rPr>
          <w:t xml:space="preserve"> </w:t>
        </w:r>
      </w:hyperlink>
      <w:hyperlink r:id="rId14">
        <w:r>
          <w:rPr>
            <w:rFonts w:ascii="Times New Roman" w:eastAsia="Times New Roman" w:hAnsi="Times New Roman" w:cs="Times New Roman"/>
            <w:color w:val="1155CC"/>
            <w:sz w:val="24"/>
            <w:szCs w:val="24"/>
            <w:u w:val="single"/>
          </w:rPr>
          <w:t>https://doi.org/10.1016/j.ijinfomgt.2019.11.001</w:t>
        </w:r>
      </w:hyperlink>
    </w:p>
    <w:p w14:paraId="00000057"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Lorenzen, J. A. (2012). Going Green: the process of lifestyle change. Sociological Forum, 27(1), 94-116.</w:t>
      </w:r>
      <w:hyperlink r:id="rId15">
        <w:r>
          <w:rPr>
            <w:rFonts w:ascii="Times New Roman" w:eastAsia="Times New Roman" w:hAnsi="Times New Roman" w:cs="Times New Roman"/>
            <w:sz w:val="24"/>
            <w:szCs w:val="24"/>
          </w:rPr>
          <w:t xml:space="preserve"> </w:t>
        </w:r>
      </w:hyperlink>
      <w:hyperlink r:id="rId16">
        <w:r>
          <w:rPr>
            <w:rFonts w:ascii="Times New Roman" w:eastAsia="Times New Roman" w:hAnsi="Times New Roman" w:cs="Times New Roman"/>
            <w:color w:val="1155CC"/>
            <w:sz w:val="24"/>
            <w:szCs w:val="24"/>
            <w:u w:val="single"/>
          </w:rPr>
          <w:t>https://doi.org/10.1111/j.1573-7861.2011.01303.x</w:t>
        </w:r>
      </w:hyperlink>
    </w:p>
    <w:p w14:paraId="00000058"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Nosi, C., Zollo, L., </w:t>
      </w:r>
      <w:proofErr w:type="spellStart"/>
      <w:r>
        <w:rPr>
          <w:rFonts w:ascii="Times New Roman" w:eastAsia="Times New Roman" w:hAnsi="Times New Roman" w:cs="Times New Roman"/>
          <w:sz w:val="24"/>
          <w:szCs w:val="24"/>
        </w:rPr>
        <w:t>Rialti</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Ciappei</w:t>
      </w:r>
      <w:proofErr w:type="spellEnd"/>
      <w:r>
        <w:rPr>
          <w:rFonts w:ascii="Times New Roman" w:eastAsia="Times New Roman" w:hAnsi="Times New Roman" w:cs="Times New Roman"/>
          <w:sz w:val="24"/>
          <w:szCs w:val="24"/>
        </w:rPr>
        <w:t>, C. (2020). Sustainable consumption in organic food buying behavior: the case of quinoa. British Food Journal, 122(3), 976-994.</w:t>
      </w:r>
      <w:hyperlink r:id="rId17">
        <w:r>
          <w:rPr>
            <w:rFonts w:ascii="Times New Roman" w:eastAsia="Times New Roman" w:hAnsi="Times New Roman" w:cs="Times New Roman"/>
            <w:sz w:val="24"/>
            <w:szCs w:val="24"/>
          </w:rPr>
          <w:t xml:space="preserve"> </w:t>
        </w:r>
      </w:hyperlink>
      <w:hyperlink r:id="rId18">
        <w:r>
          <w:rPr>
            <w:rFonts w:ascii="Times New Roman" w:eastAsia="Times New Roman" w:hAnsi="Times New Roman" w:cs="Times New Roman"/>
            <w:color w:val="1155CC"/>
            <w:sz w:val="24"/>
            <w:szCs w:val="24"/>
            <w:u w:val="single"/>
          </w:rPr>
          <w:t>https://doi.org/10.1108/BFJ-09-2019-0745</w:t>
        </w:r>
      </w:hyperlink>
    </w:p>
    <w:p w14:paraId="00000059"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Onel, N., Mukherjee, A., Kreidler, N. B., Díaz, E. M., </w:t>
      </w:r>
      <w:proofErr w:type="spellStart"/>
      <w:r>
        <w:rPr>
          <w:rFonts w:ascii="Times New Roman" w:eastAsia="Times New Roman" w:hAnsi="Times New Roman" w:cs="Times New Roman"/>
          <w:sz w:val="24"/>
          <w:szCs w:val="24"/>
        </w:rPr>
        <w:t>Furchheim</w:t>
      </w:r>
      <w:proofErr w:type="spellEnd"/>
      <w:r>
        <w:rPr>
          <w:rFonts w:ascii="Times New Roman" w:eastAsia="Times New Roman" w:hAnsi="Times New Roman" w:cs="Times New Roman"/>
          <w:sz w:val="24"/>
          <w:szCs w:val="24"/>
        </w:rPr>
        <w:t>, P., Gupta, S., Keech, J., Murdock, M. R., &amp; Wang, Q. (2018). Tell me your story and I will tell you who you are: Persona perspective in sustainable consumption. Psychology &amp; Marketing, 35(10), 752-765.</w:t>
      </w:r>
      <w:hyperlink r:id="rId19">
        <w:r>
          <w:rPr>
            <w:rFonts w:ascii="Times New Roman" w:eastAsia="Times New Roman" w:hAnsi="Times New Roman" w:cs="Times New Roman"/>
            <w:sz w:val="24"/>
            <w:szCs w:val="24"/>
          </w:rPr>
          <w:t xml:space="preserve"> </w:t>
        </w:r>
      </w:hyperlink>
      <w:hyperlink r:id="rId20">
        <w:r>
          <w:rPr>
            <w:rFonts w:ascii="Times New Roman" w:eastAsia="Times New Roman" w:hAnsi="Times New Roman" w:cs="Times New Roman"/>
            <w:color w:val="1155CC"/>
            <w:sz w:val="24"/>
            <w:szCs w:val="24"/>
            <w:u w:val="single"/>
          </w:rPr>
          <w:t>https://doi.org/10.1002/mar.21132</w:t>
        </w:r>
      </w:hyperlink>
    </w:p>
    <w:p w14:paraId="0000005A"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Qi, X., &amp; Ploeger, A. (2019). Explaining consumers' intentions towards purchasing green food in Qingdao, China: The amendment and extension of the theory of planned behavior. Appetite, 133, 414-422.</w:t>
      </w:r>
      <w:hyperlink r:id="rId21">
        <w:r>
          <w:rPr>
            <w:rFonts w:ascii="Times New Roman" w:eastAsia="Times New Roman" w:hAnsi="Times New Roman" w:cs="Times New Roman"/>
            <w:sz w:val="24"/>
            <w:szCs w:val="24"/>
          </w:rPr>
          <w:t xml:space="preserve"> </w:t>
        </w:r>
      </w:hyperlink>
      <w:hyperlink r:id="rId22">
        <w:r>
          <w:rPr>
            <w:rFonts w:ascii="Times New Roman" w:eastAsia="Times New Roman" w:hAnsi="Times New Roman" w:cs="Times New Roman"/>
            <w:color w:val="1155CC"/>
            <w:sz w:val="24"/>
            <w:szCs w:val="24"/>
            <w:u w:val="single"/>
          </w:rPr>
          <w:t>https://doi.org/10.1016/j.appet.2018.12.004</w:t>
        </w:r>
      </w:hyperlink>
    </w:p>
    <w:p w14:paraId="0000005B"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Rakhmawati, Y., &amp; </w:t>
      </w:r>
      <w:proofErr w:type="spellStart"/>
      <w:r>
        <w:rPr>
          <w:rFonts w:ascii="Times New Roman" w:eastAsia="Times New Roman" w:hAnsi="Times New Roman" w:cs="Times New Roman"/>
          <w:sz w:val="24"/>
          <w:szCs w:val="24"/>
        </w:rPr>
        <w:t>Prasetyono</w:t>
      </w:r>
      <w:proofErr w:type="spellEnd"/>
      <w:r>
        <w:rPr>
          <w:rFonts w:ascii="Times New Roman" w:eastAsia="Times New Roman" w:hAnsi="Times New Roman" w:cs="Times New Roman"/>
          <w:sz w:val="24"/>
          <w:szCs w:val="24"/>
        </w:rPr>
        <w:t>, P. (2018). Green advertising: Triple bottom line in Indonesia’s green product advertisement. In Proceeding International Conference on Media and Communications in Southeast Asia, 1(1).</w:t>
      </w:r>
    </w:p>
    <w:p w14:paraId="0000005C"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Savale</w:t>
      </w:r>
      <w:proofErr w:type="spellEnd"/>
      <w:r>
        <w:rPr>
          <w:rFonts w:ascii="Times New Roman" w:eastAsia="Times New Roman" w:hAnsi="Times New Roman" w:cs="Times New Roman"/>
          <w:sz w:val="24"/>
          <w:szCs w:val="24"/>
        </w:rPr>
        <w:t>, T., Sharma, A., &amp; Patil, P. (2012). Green marketing: Opportunities and challenges. In Proceedings from IJCA 2012: International Conference in Computational Intelligence. New York, NY: Foundation of Computer Science.</w:t>
      </w:r>
    </w:p>
    <w:p w14:paraId="0000005D"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Schiffman, L. G., &amp; Kanuk, L. L. 2004. Consumer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5th Ed. New Jersey: Prentice-Hall Inc.</w:t>
      </w:r>
    </w:p>
    <w:p w14:paraId="0000005E"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Serenata. (2023). </w:t>
      </w:r>
      <w:proofErr w:type="spellStart"/>
      <w:r>
        <w:rPr>
          <w:rFonts w:ascii="Times New Roman" w:eastAsia="Times New Roman" w:hAnsi="Times New Roman" w:cs="Times New Roman"/>
          <w:sz w:val="24"/>
          <w:szCs w:val="24"/>
        </w:rPr>
        <w:t>Apa</w:t>
      </w:r>
      <w:proofErr w:type="spellEnd"/>
      <w:r>
        <w:rPr>
          <w:rFonts w:ascii="Times New Roman" w:eastAsia="Times New Roman" w:hAnsi="Times New Roman" w:cs="Times New Roman"/>
          <w:sz w:val="24"/>
          <w:szCs w:val="24"/>
        </w:rPr>
        <w:t xml:space="preserve"> itu Gaya Hidup Hijau dan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Cara </w:t>
      </w:r>
      <w:proofErr w:type="spellStart"/>
      <w:r>
        <w:rPr>
          <w:rFonts w:ascii="Times New Roman" w:eastAsia="Times New Roman" w:hAnsi="Times New Roman" w:cs="Times New Roman"/>
          <w:sz w:val="24"/>
          <w:szCs w:val="24"/>
        </w:rPr>
        <w:t>Penerepannya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Diakses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sidR="00D06AAE">
        <w:fldChar w:fldCharType="begin"/>
      </w:r>
      <w:r w:rsidR="00D06AAE">
        <w:instrText>HYPERLINK "https://blog.procura.id/lifestyle/apa-itu-gaya-hid</w:instrText>
      </w:r>
      <w:r w:rsidR="00D06AAE">
        <w:instrText>up-hijau/" \h</w:instrText>
      </w:r>
      <w:r w:rsidR="00D06AAE">
        <w:fldChar w:fldCharType="separate"/>
      </w:r>
      <w:r>
        <w:rPr>
          <w:rFonts w:ascii="Times New Roman" w:eastAsia="Times New Roman" w:hAnsi="Times New Roman" w:cs="Times New Roman"/>
          <w:sz w:val="24"/>
          <w:szCs w:val="24"/>
        </w:rPr>
        <w:t xml:space="preserve"> </w:t>
      </w:r>
      <w:r w:rsidR="00D06AAE">
        <w:rPr>
          <w:rFonts w:ascii="Times New Roman" w:eastAsia="Times New Roman" w:hAnsi="Times New Roman" w:cs="Times New Roman"/>
          <w:sz w:val="24"/>
          <w:szCs w:val="24"/>
        </w:rPr>
        <w:fldChar w:fldCharType="end"/>
      </w:r>
      <w:hyperlink r:id="rId23">
        <w:r>
          <w:rPr>
            <w:rFonts w:ascii="Times New Roman" w:eastAsia="Times New Roman" w:hAnsi="Times New Roman" w:cs="Times New Roman"/>
            <w:color w:val="1155CC"/>
            <w:sz w:val="24"/>
            <w:szCs w:val="24"/>
            <w:u w:val="single"/>
          </w:rPr>
          <w:t>https://blog.procura.id/lifestyle/apa-itu-gaya-hidup-hijau/</w:t>
        </w:r>
      </w:hyperlink>
    </w:p>
    <w:p w14:paraId="0000005F"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Setiadi, J. N., (2008). </w:t>
      </w:r>
      <w:proofErr w:type="spellStart"/>
      <w:r>
        <w:rPr>
          <w:rFonts w:ascii="Times New Roman" w:eastAsia="Times New Roman" w:hAnsi="Times New Roman" w:cs="Times New Roman"/>
          <w:sz w:val="24"/>
          <w:szCs w:val="24"/>
        </w:rPr>
        <w:t>Perilaku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Konsumen</w:t>
      </w:r>
      <w:proofErr w:type="spellEnd"/>
      <w:r>
        <w:rPr>
          <w:rFonts w:ascii="Times New Roman" w:eastAsia="Times New Roman" w:hAnsi="Times New Roman" w:cs="Times New Roman"/>
          <w:sz w:val="24"/>
          <w:szCs w:val="24"/>
        </w:rPr>
        <w:t xml:space="preserve">. Jakarta: PT. </w:t>
      </w:r>
      <w:proofErr w:type="spellStart"/>
      <w:r>
        <w:rPr>
          <w:rFonts w:ascii="Times New Roman" w:eastAsia="Times New Roman" w:hAnsi="Times New Roman" w:cs="Times New Roman"/>
          <w:sz w:val="24"/>
          <w:szCs w:val="24"/>
        </w:rPr>
        <w:t>Kencana</w:t>
      </w:r>
      <w:proofErr w:type="spellEnd"/>
      <w:r>
        <w:rPr>
          <w:rFonts w:ascii="Times New Roman" w:eastAsia="Times New Roman" w:hAnsi="Times New Roman" w:cs="Times New Roman"/>
          <w:sz w:val="24"/>
          <w:szCs w:val="24"/>
        </w:rPr>
        <w:t>.</w:t>
      </w:r>
    </w:p>
    <w:p w14:paraId="00000060"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Sh. Ahmad, F., Rosli, N. T., &amp; </w:t>
      </w:r>
      <w:proofErr w:type="spellStart"/>
      <w:r>
        <w:rPr>
          <w:rFonts w:ascii="Times New Roman" w:eastAsia="Times New Roman" w:hAnsi="Times New Roman" w:cs="Times New Roman"/>
          <w:sz w:val="24"/>
          <w:szCs w:val="24"/>
        </w:rPr>
        <w:t>Quoquab</w:t>
      </w:r>
      <w:proofErr w:type="spellEnd"/>
      <w:r>
        <w:rPr>
          <w:rFonts w:ascii="Times New Roman" w:eastAsia="Times New Roman" w:hAnsi="Times New Roman" w:cs="Times New Roman"/>
          <w:sz w:val="24"/>
          <w:szCs w:val="24"/>
        </w:rPr>
        <w:t xml:space="preserve">, F. (2022). Environmental quality awareness, green trust, green self-efficacy and environmental attitude in influencing green purchase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International Journal of Ethics and Systems, 38(1), 68-90.</w:t>
      </w:r>
      <w:hyperlink r:id="rId24">
        <w:r>
          <w:rPr>
            <w:rFonts w:ascii="Times New Roman" w:eastAsia="Times New Roman" w:hAnsi="Times New Roman" w:cs="Times New Roman"/>
            <w:sz w:val="24"/>
            <w:szCs w:val="24"/>
          </w:rPr>
          <w:t xml:space="preserve"> </w:t>
        </w:r>
      </w:hyperlink>
      <w:hyperlink r:id="rId25">
        <w:r>
          <w:rPr>
            <w:rFonts w:ascii="Times New Roman" w:eastAsia="Times New Roman" w:hAnsi="Times New Roman" w:cs="Times New Roman"/>
            <w:color w:val="1155CC"/>
            <w:sz w:val="24"/>
            <w:szCs w:val="24"/>
            <w:u w:val="single"/>
          </w:rPr>
          <w:t>https://doi.org/10.1108/IJOES-05-2020-0072</w:t>
        </w:r>
      </w:hyperlink>
    </w:p>
    <w:p w14:paraId="00000061"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Sheng, G.H., &amp; Ge, W. D. A. (2019). A study on the social mechanism driving consumers’ green purchase from the perspective of social interaction. J. Huazhong Agriculture University, 2, 81–90.</w:t>
      </w:r>
    </w:p>
    <w:p w14:paraId="00000062"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Silaban</w:t>
      </w:r>
      <w:proofErr w:type="spellEnd"/>
      <w:r>
        <w:rPr>
          <w:rFonts w:ascii="Times New Roman" w:eastAsia="Times New Roman" w:hAnsi="Times New Roman" w:cs="Times New Roman"/>
          <w:sz w:val="24"/>
          <w:szCs w:val="24"/>
        </w:rPr>
        <w:t xml:space="preserve">, B. E., &amp; Annastasia, E., (2019).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Pemasaran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Gaya Hidup &amp; Hijau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Keputusan </w:t>
      </w:r>
      <w:proofErr w:type="spellStart"/>
      <w:r>
        <w:rPr>
          <w:rFonts w:ascii="Times New Roman" w:eastAsia="Times New Roman" w:hAnsi="Times New Roman" w:cs="Times New Roman"/>
          <w:sz w:val="24"/>
          <w:szCs w:val="24"/>
        </w:rPr>
        <w:t>Pembelian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Body Shop di Jakarta. </w:t>
      </w:r>
      <w:proofErr w:type="spellStart"/>
      <w:r>
        <w:rPr>
          <w:rFonts w:ascii="Times New Roman" w:eastAsia="Times New Roman" w:hAnsi="Times New Roman" w:cs="Times New Roman"/>
          <w:sz w:val="24"/>
          <w:szCs w:val="24"/>
        </w:rPr>
        <w:t>Esensi</w:t>
      </w:r>
      <w:proofErr w:type="spellEnd"/>
      <w:r>
        <w:rPr>
          <w:rFonts w:ascii="Times New Roman" w:eastAsia="Times New Roman" w:hAnsi="Times New Roman" w:cs="Times New Roman"/>
          <w:sz w:val="24"/>
          <w:szCs w:val="24"/>
        </w:rPr>
        <w:t>: Jurnal Manajemen Bisnis, 22(1), 92-114.</w:t>
      </w:r>
    </w:p>
    <w:p w14:paraId="00000063"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Suki, N. M., &amp; Suki, N. M. (2019). Examination of peer influence as a moderator and predictor in explaining green purchase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in a developing country. Journal of Cleaner Production, 228, 833-844.</w:t>
      </w:r>
      <w:hyperlink r:id="rId26">
        <w:r>
          <w:rPr>
            <w:rFonts w:ascii="Times New Roman" w:eastAsia="Times New Roman" w:hAnsi="Times New Roman" w:cs="Times New Roman"/>
            <w:sz w:val="24"/>
            <w:szCs w:val="24"/>
          </w:rPr>
          <w:t xml:space="preserve"> </w:t>
        </w:r>
      </w:hyperlink>
      <w:hyperlink r:id="rId27">
        <w:r>
          <w:rPr>
            <w:rFonts w:ascii="Times New Roman" w:eastAsia="Times New Roman" w:hAnsi="Times New Roman" w:cs="Times New Roman"/>
            <w:color w:val="1155CC"/>
            <w:sz w:val="24"/>
            <w:szCs w:val="24"/>
            <w:u w:val="single"/>
          </w:rPr>
          <w:t>https://doi.org/10.1016/j.jclepro.2019.04.218</w:t>
        </w:r>
      </w:hyperlink>
    </w:p>
    <w:p w14:paraId="00000064" w14:textId="77777777" w:rsidR="00471656" w:rsidRDefault="00376A28" w:rsidP="00DF1FAE">
      <w:pPr>
        <w:spacing w:before="240" w:after="240" w:line="240" w:lineRule="auto"/>
        <w:ind w:left="1400" w:hanging="7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Sugiyono</w:t>
      </w:r>
      <w:proofErr w:type="spellEnd"/>
      <w:r>
        <w:rPr>
          <w:rFonts w:ascii="Times New Roman" w:eastAsia="Times New Roman" w:hAnsi="Times New Roman" w:cs="Times New Roman"/>
          <w:sz w:val="24"/>
          <w:szCs w:val="24"/>
        </w:rPr>
        <w:t xml:space="preserve">. (2016). Metode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Kuantitatif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dan R&amp;D. Bandung: PT. </w:t>
      </w:r>
      <w:proofErr w:type="spellStart"/>
      <w:r>
        <w:rPr>
          <w:rFonts w:ascii="Times New Roman" w:eastAsia="Times New Roman" w:hAnsi="Times New Roman" w:cs="Times New Roman"/>
          <w:sz w:val="24"/>
          <w:szCs w:val="24"/>
        </w:rPr>
        <w:t>Alfabet</w:t>
      </w:r>
      <w:proofErr w:type="spellEnd"/>
      <w:r>
        <w:rPr>
          <w:rFonts w:ascii="Times New Roman" w:eastAsia="Times New Roman" w:hAnsi="Times New Roman" w:cs="Times New Roman"/>
          <w:sz w:val="24"/>
          <w:szCs w:val="24"/>
        </w:rPr>
        <w:t>.</w:t>
      </w:r>
    </w:p>
    <w:p w14:paraId="00000065"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proofErr w:type="spellStart"/>
      <w:r>
        <w:rPr>
          <w:rFonts w:ascii="Times New Roman" w:eastAsia="Times New Roman" w:hAnsi="Times New Roman" w:cs="Times New Roman"/>
          <w:sz w:val="24"/>
          <w:szCs w:val="24"/>
        </w:rPr>
        <w:t>Taufique</w:t>
      </w:r>
      <w:proofErr w:type="spellEnd"/>
      <w:r>
        <w:rPr>
          <w:rFonts w:ascii="Times New Roman" w:eastAsia="Times New Roman" w:hAnsi="Times New Roman" w:cs="Times New Roman"/>
          <w:sz w:val="24"/>
          <w:szCs w:val="24"/>
        </w:rPr>
        <w:t xml:space="preserve">, K. M. R., </w:t>
      </w:r>
      <w:proofErr w:type="spellStart"/>
      <w:r>
        <w:rPr>
          <w:rFonts w:ascii="Times New Roman" w:eastAsia="Times New Roman" w:hAnsi="Times New Roman" w:cs="Times New Roman"/>
          <w:sz w:val="24"/>
          <w:szCs w:val="24"/>
        </w:rPr>
        <w:t>Vocino</w:t>
      </w:r>
      <w:proofErr w:type="spellEnd"/>
      <w:r>
        <w:rPr>
          <w:rFonts w:ascii="Times New Roman" w:eastAsia="Times New Roman" w:hAnsi="Times New Roman" w:cs="Times New Roman"/>
          <w:sz w:val="24"/>
          <w:szCs w:val="24"/>
        </w:rPr>
        <w:t xml:space="preserve">, A., &amp; Polonsky, M. J. (2017). The influence of eco-label knowledge and trust on pro-environmental consumer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in an emerging market. Journal of Strategic Marketing, 25(7), 511-529.</w:t>
      </w:r>
      <w:hyperlink r:id="rId28">
        <w:r>
          <w:rPr>
            <w:rFonts w:ascii="Times New Roman" w:eastAsia="Times New Roman" w:hAnsi="Times New Roman" w:cs="Times New Roman"/>
            <w:sz w:val="24"/>
            <w:szCs w:val="24"/>
          </w:rPr>
          <w:t xml:space="preserve"> </w:t>
        </w:r>
      </w:hyperlink>
      <w:hyperlink r:id="rId29">
        <w:r>
          <w:rPr>
            <w:rFonts w:ascii="Times New Roman" w:eastAsia="Times New Roman" w:hAnsi="Times New Roman" w:cs="Times New Roman"/>
            <w:color w:val="1155CC"/>
            <w:sz w:val="24"/>
            <w:szCs w:val="24"/>
            <w:u w:val="single"/>
          </w:rPr>
          <w:t>https://doi.org/10.1080/0965254X.2016.1240219</w:t>
        </w:r>
      </w:hyperlink>
    </w:p>
    <w:p w14:paraId="00000066"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Teng, C. C., &amp; Wang, Y. M. (2015). Decisional factors driving organic food consumption: Generation of consumer purchase intentions. British Food Journal, 117(3), 1066-1081.</w:t>
      </w:r>
      <w:hyperlink r:id="rId30">
        <w:r>
          <w:rPr>
            <w:rFonts w:ascii="Times New Roman" w:eastAsia="Times New Roman" w:hAnsi="Times New Roman" w:cs="Times New Roman"/>
            <w:sz w:val="24"/>
            <w:szCs w:val="24"/>
          </w:rPr>
          <w:t xml:space="preserve"> </w:t>
        </w:r>
      </w:hyperlink>
      <w:hyperlink r:id="rId31">
        <w:r>
          <w:rPr>
            <w:rFonts w:ascii="Times New Roman" w:eastAsia="Times New Roman" w:hAnsi="Times New Roman" w:cs="Times New Roman"/>
            <w:color w:val="1155CC"/>
            <w:sz w:val="24"/>
            <w:szCs w:val="24"/>
            <w:u w:val="single"/>
          </w:rPr>
          <w:t>https://doi.org/10.1108/BFJ-12-2013-0361</w:t>
        </w:r>
      </w:hyperlink>
    </w:p>
    <w:p w14:paraId="00000067"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proofErr w:type="spellStart"/>
      <w:r>
        <w:rPr>
          <w:rFonts w:ascii="Times New Roman" w:eastAsia="Times New Roman" w:hAnsi="Times New Roman" w:cs="Times New Roman"/>
          <w:sz w:val="24"/>
          <w:szCs w:val="24"/>
        </w:rPr>
        <w:t>Verain</w:t>
      </w:r>
      <w:proofErr w:type="spellEnd"/>
      <w:r>
        <w:rPr>
          <w:rFonts w:ascii="Times New Roman" w:eastAsia="Times New Roman" w:hAnsi="Times New Roman" w:cs="Times New Roman"/>
          <w:sz w:val="24"/>
          <w:szCs w:val="24"/>
        </w:rPr>
        <w:t xml:space="preserve">, M. C., Bartels, J., </w:t>
      </w:r>
      <w:proofErr w:type="spellStart"/>
      <w:r>
        <w:rPr>
          <w:rFonts w:ascii="Times New Roman" w:eastAsia="Times New Roman" w:hAnsi="Times New Roman" w:cs="Times New Roman"/>
          <w:sz w:val="24"/>
          <w:szCs w:val="24"/>
        </w:rPr>
        <w:t>Dagevos</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Sijtsema</w:t>
      </w:r>
      <w:proofErr w:type="spellEnd"/>
      <w:r>
        <w:rPr>
          <w:rFonts w:ascii="Times New Roman" w:eastAsia="Times New Roman" w:hAnsi="Times New Roman" w:cs="Times New Roman"/>
          <w:sz w:val="24"/>
          <w:szCs w:val="24"/>
        </w:rPr>
        <w:t xml:space="preserve">, S. J., </w:t>
      </w:r>
      <w:proofErr w:type="spellStart"/>
      <w:r>
        <w:rPr>
          <w:rFonts w:ascii="Times New Roman" w:eastAsia="Times New Roman" w:hAnsi="Times New Roman" w:cs="Times New Roman"/>
          <w:sz w:val="24"/>
          <w:szCs w:val="24"/>
        </w:rPr>
        <w:t>Onwezen</w:t>
      </w:r>
      <w:proofErr w:type="spellEnd"/>
      <w:r>
        <w:rPr>
          <w:rFonts w:ascii="Times New Roman" w:eastAsia="Times New Roman" w:hAnsi="Times New Roman" w:cs="Times New Roman"/>
          <w:sz w:val="24"/>
          <w:szCs w:val="24"/>
        </w:rPr>
        <w:t>, M. C., &amp; Antonides, G. (2012). Segments of sustainable food consumers: a literature review. International Journal of Consumer Studies, 36(2), 123-132.</w:t>
      </w:r>
      <w:hyperlink r:id="rId32">
        <w:r>
          <w:rPr>
            <w:rFonts w:ascii="Times New Roman" w:eastAsia="Times New Roman" w:hAnsi="Times New Roman" w:cs="Times New Roman"/>
            <w:sz w:val="24"/>
            <w:szCs w:val="24"/>
          </w:rPr>
          <w:t xml:space="preserve"> </w:t>
        </w:r>
      </w:hyperlink>
      <w:hyperlink r:id="rId33">
        <w:r>
          <w:rPr>
            <w:rFonts w:ascii="Times New Roman" w:eastAsia="Times New Roman" w:hAnsi="Times New Roman" w:cs="Times New Roman"/>
            <w:color w:val="1155CC"/>
            <w:sz w:val="24"/>
            <w:szCs w:val="24"/>
            <w:u w:val="single"/>
          </w:rPr>
          <w:t>https://doi.org/10.1111/j.1470-6431.2011.01082.x</w:t>
        </w:r>
      </w:hyperlink>
    </w:p>
    <w:p w14:paraId="00000068" w14:textId="77777777" w:rsidR="00471656" w:rsidRDefault="00376A28" w:rsidP="00DF1FAE">
      <w:pPr>
        <w:spacing w:before="240" w:after="240" w:line="240" w:lineRule="auto"/>
        <w:ind w:left="1400" w:hanging="70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lastRenderedPageBreak/>
        <w:t>Xu, X., Hua, Y., Wang, S., &amp; Xu, G. (2020). Determinants of consumer’s intention to purchase authentic green furniture. Resources, Conservation and Recycling, 156, 104721.</w:t>
      </w:r>
      <w:hyperlink r:id="rId34">
        <w:r>
          <w:rPr>
            <w:rFonts w:ascii="Times New Roman" w:eastAsia="Times New Roman" w:hAnsi="Times New Roman" w:cs="Times New Roman"/>
            <w:sz w:val="24"/>
            <w:szCs w:val="24"/>
          </w:rPr>
          <w:t xml:space="preserve"> </w:t>
        </w:r>
      </w:hyperlink>
      <w:hyperlink r:id="rId35">
        <w:r>
          <w:rPr>
            <w:rFonts w:ascii="Times New Roman" w:eastAsia="Times New Roman" w:hAnsi="Times New Roman" w:cs="Times New Roman"/>
            <w:color w:val="1155CC"/>
            <w:sz w:val="24"/>
            <w:szCs w:val="24"/>
            <w:u w:val="single"/>
          </w:rPr>
          <w:t>https://doi.org/10.1016/j.resconrec.2020.104721</w:t>
        </w:r>
      </w:hyperlink>
    </w:p>
    <w:p w14:paraId="00000069" w14:textId="77777777" w:rsidR="00471656" w:rsidRDefault="00471656" w:rsidP="00DF1FAE">
      <w:pPr>
        <w:spacing w:before="240" w:after="240" w:line="240" w:lineRule="auto"/>
        <w:jc w:val="both"/>
        <w:rPr>
          <w:rFonts w:ascii="Times New Roman" w:eastAsia="Times New Roman" w:hAnsi="Times New Roman" w:cs="Times New Roman"/>
          <w:sz w:val="24"/>
          <w:szCs w:val="24"/>
        </w:rPr>
      </w:pPr>
    </w:p>
    <w:p w14:paraId="0000006A" w14:textId="77777777" w:rsidR="00471656" w:rsidRDefault="00471656" w:rsidP="00DF1FAE">
      <w:pPr>
        <w:spacing w:before="240" w:after="240" w:line="240" w:lineRule="auto"/>
        <w:jc w:val="both"/>
        <w:rPr>
          <w:rFonts w:ascii="Times New Roman" w:eastAsia="Times New Roman" w:hAnsi="Times New Roman" w:cs="Times New Roman"/>
          <w:b/>
          <w:sz w:val="24"/>
          <w:szCs w:val="24"/>
        </w:rPr>
      </w:pPr>
    </w:p>
    <w:p w14:paraId="0000006B" w14:textId="77777777" w:rsidR="00471656" w:rsidRDefault="00376A28" w:rsidP="00DF1FA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C" w14:textId="77777777" w:rsidR="00471656" w:rsidRDefault="00471656" w:rsidP="00DF1FAE">
      <w:pPr>
        <w:spacing w:before="240" w:after="240" w:line="240" w:lineRule="auto"/>
        <w:ind w:firstLine="720"/>
        <w:jc w:val="both"/>
        <w:rPr>
          <w:rFonts w:ascii="Times New Roman" w:eastAsia="Times New Roman" w:hAnsi="Times New Roman" w:cs="Times New Roman"/>
          <w:sz w:val="24"/>
          <w:szCs w:val="24"/>
        </w:rPr>
      </w:pPr>
    </w:p>
    <w:p w14:paraId="0000006D" w14:textId="77777777" w:rsidR="00471656" w:rsidRDefault="00471656" w:rsidP="00DF1FAE">
      <w:pPr>
        <w:spacing w:before="240" w:after="240" w:line="240" w:lineRule="auto"/>
        <w:ind w:firstLine="720"/>
        <w:jc w:val="center"/>
        <w:rPr>
          <w:rFonts w:ascii="Times New Roman" w:eastAsia="Times New Roman" w:hAnsi="Times New Roman" w:cs="Times New Roman"/>
          <w:b/>
          <w:sz w:val="24"/>
          <w:szCs w:val="24"/>
        </w:rPr>
      </w:pPr>
    </w:p>
    <w:p w14:paraId="0000006E" w14:textId="77777777" w:rsidR="00471656" w:rsidRDefault="00471656" w:rsidP="00DF1FAE">
      <w:pPr>
        <w:spacing w:before="240" w:after="240" w:line="240" w:lineRule="auto"/>
        <w:ind w:left="720" w:firstLine="720"/>
        <w:jc w:val="both"/>
        <w:rPr>
          <w:rFonts w:ascii="Times New Roman" w:eastAsia="Times New Roman" w:hAnsi="Times New Roman" w:cs="Times New Roman"/>
          <w:sz w:val="24"/>
          <w:szCs w:val="24"/>
        </w:rPr>
      </w:pPr>
    </w:p>
    <w:p w14:paraId="0000006F" w14:textId="77777777" w:rsidR="00471656" w:rsidRDefault="00471656" w:rsidP="00DF1FAE">
      <w:pPr>
        <w:spacing w:before="240" w:after="240" w:line="240" w:lineRule="auto"/>
        <w:jc w:val="both"/>
        <w:rPr>
          <w:rFonts w:ascii="Times New Roman" w:eastAsia="Times New Roman" w:hAnsi="Times New Roman" w:cs="Times New Roman"/>
          <w:sz w:val="24"/>
          <w:szCs w:val="24"/>
        </w:rPr>
      </w:pPr>
    </w:p>
    <w:p w14:paraId="00000070" w14:textId="77777777" w:rsidR="00471656" w:rsidRDefault="00376A28" w:rsidP="00DF1FA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71" w14:textId="77777777" w:rsidR="00471656" w:rsidRDefault="00471656" w:rsidP="00DF1FAE">
      <w:pPr>
        <w:spacing w:before="240" w:after="240" w:line="240" w:lineRule="auto"/>
        <w:jc w:val="both"/>
        <w:rPr>
          <w:rFonts w:ascii="Times New Roman" w:eastAsia="Times New Roman" w:hAnsi="Times New Roman" w:cs="Times New Roman"/>
          <w:sz w:val="24"/>
          <w:szCs w:val="24"/>
        </w:rPr>
      </w:pPr>
    </w:p>
    <w:p w14:paraId="00000072" w14:textId="77777777" w:rsidR="00471656" w:rsidRDefault="00471656" w:rsidP="00DF1FAE">
      <w:pPr>
        <w:spacing w:before="240" w:after="240" w:line="240" w:lineRule="auto"/>
        <w:jc w:val="both"/>
        <w:rPr>
          <w:rFonts w:ascii="Times New Roman" w:eastAsia="Times New Roman" w:hAnsi="Times New Roman" w:cs="Times New Roman"/>
          <w:sz w:val="24"/>
          <w:szCs w:val="24"/>
        </w:rPr>
      </w:pPr>
    </w:p>
    <w:p w14:paraId="00000073" w14:textId="77777777" w:rsidR="00471656" w:rsidRDefault="00471656" w:rsidP="00DF1FAE">
      <w:pPr>
        <w:spacing w:before="240" w:after="240" w:line="240" w:lineRule="auto"/>
        <w:jc w:val="both"/>
        <w:rPr>
          <w:rFonts w:ascii="Times New Roman" w:eastAsia="Times New Roman" w:hAnsi="Times New Roman" w:cs="Times New Roman"/>
          <w:sz w:val="24"/>
          <w:szCs w:val="24"/>
        </w:rPr>
      </w:pPr>
    </w:p>
    <w:p w14:paraId="00000074" w14:textId="77777777" w:rsidR="00471656" w:rsidRDefault="00471656" w:rsidP="00DF1FAE">
      <w:pPr>
        <w:spacing w:before="240" w:after="240" w:line="240" w:lineRule="auto"/>
        <w:ind w:firstLine="720"/>
        <w:jc w:val="both"/>
        <w:rPr>
          <w:rFonts w:ascii="Times New Roman" w:eastAsia="Times New Roman" w:hAnsi="Times New Roman" w:cs="Times New Roman"/>
          <w:sz w:val="24"/>
          <w:szCs w:val="24"/>
        </w:rPr>
      </w:pPr>
    </w:p>
    <w:p w14:paraId="00000075" w14:textId="77777777" w:rsidR="00471656" w:rsidRDefault="00471656" w:rsidP="00DF1FAE">
      <w:pPr>
        <w:spacing w:before="240" w:after="240" w:line="240" w:lineRule="auto"/>
        <w:ind w:firstLine="720"/>
        <w:jc w:val="both"/>
        <w:rPr>
          <w:rFonts w:ascii="Times New Roman" w:eastAsia="Times New Roman" w:hAnsi="Times New Roman" w:cs="Times New Roman"/>
          <w:sz w:val="24"/>
          <w:szCs w:val="24"/>
        </w:rPr>
      </w:pPr>
    </w:p>
    <w:p w14:paraId="00000076" w14:textId="77777777" w:rsidR="00471656" w:rsidRDefault="00471656" w:rsidP="00DF1FAE">
      <w:pPr>
        <w:spacing w:before="240" w:after="240" w:line="240" w:lineRule="auto"/>
        <w:ind w:firstLine="720"/>
        <w:jc w:val="both"/>
        <w:rPr>
          <w:rFonts w:ascii="Times New Roman" w:eastAsia="Times New Roman" w:hAnsi="Times New Roman" w:cs="Times New Roman"/>
          <w:sz w:val="24"/>
          <w:szCs w:val="24"/>
        </w:rPr>
      </w:pPr>
    </w:p>
    <w:p w14:paraId="00000077" w14:textId="77777777" w:rsidR="00471656" w:rsidRDefault="00471656" w:rsidP="00DF1FAE">
      <w:pPr>
        <w:spacing w:before="240" w:after="240" w:line="240" w:lineRule="auto"/>
        <w:jc w:val="center"/>
        <w:rPr>
          <w:rFonts w:ascii="Times New Roman" w:eastAsia="Times New Roman" w:hAnsi="Times New Roman" w:cs="Times New Roman"/>
          <w:sz w:val="24"/>
          <w:szCs w:val="24"/>
        </w:rPr>
      </w:pPr>
    </w:p>
    <w:p w14:paraId="00000078" w14:textId="77777777" w:rsidR="00471656" w:rsidRDefault="00471656" w:rsidP="00DF1FAE">
      <w:pPr>
        <w:spacing w:line="240" w:lineRule="auto"/>
      </w:pPr>
    </w:p>
    <w:sectPr w:rsidR="004716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56"/>
    <w:rsid w:val="00376A28"/>
    <w:rsid w:val="00471656"/>
    <w:rsid w:val="008970FD"/>
    <w:rsid w:val="008A2E25"/>
    <w:rsid w:val="00A61595"/>
    <w:rsid w:val="00AF4F0B"/>
    <w:rsid w:val="00CD2842"/>
    <w:rsid w:val="00D06AAE"/>
    <w:rsid w:val="00DF1FAE"/>
    <w:rsid w:val="00EB51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2FC5"/>
  <w15:docId w15:val="{7593005B-BCEF-4EE6-9E0A-FDE85883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F4F0B"/>
    <w:pPr>
      <w:spacing w:after="200"/>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AF4F0B"/>
    <w:pPr>
      <w:spacing w:line="240" w:lineRule="auto"/>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FAE"/>
    <w:rPr>
      <w:color w:val="0000FF" w:themeColor="hyperlink"/>
      <w:u w:val="single"/>
    </w:rPr>
  </w:style>
  <w:style w:type="character" w:styleId="UnresolvedMention">
    <w:name w:val="Unresolved Mention"/>
    <w:basedOn w:val="DefaultParagraphFont"/>
    <w:uiPriority w:val="99"/>
    <w:semiHidden/>
    <w:unhideWhenUsed/>
    <w:rsid w:val="00DF1FAE"/>
    <w:rPr>
      <w:color w:val="605E5C"/>
      <w:shd w:val="clear" w:color="auto" w:fill="E1DFDD"/>
    </w:rPr>
  </w:style>
  <w:style w:type="table" w:styleId="ListTable2">
    <w:name w:val="List Table 2"/>
    <w:basedOn w:val="TableNormal"/>
    <w:uiPriority w:val="47"/>
    <w:rsid w:val="00D06AA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016/j.ijinfomgt.2019.11.001" TargetMode="External"/><Relationship Id="rId18" Type="http://schemas.openxmlformats.org/officeDocument/2006/relationships/hyperlink" Target="https://doi.org/10.1108/BFJ-09-2019-0745" TargetMode="External"/><Relationship Id="rId26" Type="http://schemas.openxmlformats.org/officeDocument/2006/relationships/hyperlink" Target="https://doi.org/10.1016/j.jclepro.2019.04.218" TargetMode="External"/><Relationship Id="rId21" Type="http://schemas.openxmlformats.org/officeDocument/2006/relationships/hyperlink" Target="https://doi.org/10.1016/j.appet.2018.12.004" TargetMode="External"/><Relationship Id="rId34" Type="http://schemas.openxmlformats.org/officeDocument/2006/relationships/hyperlink" Target="https://doi.org/10.1016/j.resconrec.2020.104721" TargetMode="External"/><Relationship Id="rId7" Type="http://schemas.openxmlformats.org/officeDocument/2006/relationships/hyperlink" Target="https://doi.org/10.1108/00251741211216250" TargetMode="External"/><Relationship Id="rId12" Type="http://schemas.openxmlformats.org/officeDocument/2006/relationships/hyperlink" Target="https://doi.org/10.1080/09500690500498336" TargetMode="External"/><Relationship Id="rId17" Type="http://schemas.openxmlformats.org/officeDocument/2006/relationships/hyperlink" Target="https://doi.org/10.1108/BFJ-09-2019-0745" TargetMode="External"/><Relationship Id="rId25" Type="http://schemas.openxmlformats.org/officeDocument/2006/relationships/hyperlink" Target="https://doi.org/10.1108/IJOES-05-2020-0072" TargetMode="External"/><Relationship Id="rId33" Type="http://schemas.openxmlformats.org/officeDocument/2006/relationships/hyperlink" Target="https://doi.org/10.1111/j.1470-6431.2011.01082.x" TargetMode="External"/><Relationship Id="rId2" Type="http://schemas.openxmlformats.org/officeDocument/2006/relationships/settings" Target="settings.xml"/><Relationship Id="rId16" Type="http://schemas.openxmlformats.org/officeDocument/2006/relationships/hyperlink" Target="https://doi.org/10.1111/j.1573-7861.2011.01303.x" TargetMode="External"/><Relationship Id="rId20" Type="http://schemas.openxmlformats.org/officeDocument/2006/relationships/hyperlink" Target="https://doi.org/10.1002/mar.21132" TargetMode="External"/><Relationship Id="rId29" Type="http://schemas.openxmlformats.org/officeDocument/2006/relationships/hyperlink" Target="https://doi.org/10.1080/0965254X.2016.1240219" TargetMode="External"/><Relationship Id="rId1" Type="http://schemas.openxmlformats.org/officeDocument/2006/relationships/styles" Target="styles.xml"/><Relationship Id="rId6" Type="http://schemas.openxmlformats.org/officeDocument/2006/relationships/hyperlink" Target="https://doi.org/10.1016/j.jenvp.2019.101319" TargetMode="External"/><Relationship Id="rId11" Type="http://schemas.openxmlformats.org/officeDocument/2006/relationships/hyperlink" Target="https://doi.org/10.1080/09500690500498336" TargetMode="External"/><Relationship Id="rId24" Type="http://schemas.openxmlformats.org/officeDocument/2006/relationships/hyperlink" Target="https://doi.org/10.1108/IJOES-05-2020-0072" TargetMode="External"/><Relationship Id="rId32" Type="http://schemas.openxmlformats.org/officeDocument/2006/relationships/hyperlink" Target="https://doi.org/10.1111/j.1470-6431.2011.01082.x" TargetMode="External"/><Relationship Id="rId37" Type="http://schemas.openxmlformats.org/officeDocument/2006/relationships/theme" Target="theme/theme1.xml"/><Relationship Id="rId5" Type="http://schemas.openxmlformats.org/officeDocument/2006/relationships/hyperlink" Target="https://doi.org/10.1016/j.jenvp.2019.101319" TargetMode="External"/><Relationship Id="rId15" Type="http://schemas.openxmlformats.org/officeDocument/2006/relationships/hyperlink" Target="https://doi.org/10.1111/j.1573-7861.2011.01303.x" TargetMode="External"/><Relationship Id="rId23" Type="http://schemas.openxmlformats.org/officeDocument/2006/relationships/hyperlink" Target="https://blog.procura.id/lifestyle/apa-itu-gaya-hidup-hijau/" TargetMode="External"/><Relationship Id="rId28" Type="http://schemas.openxmlformats.org/officeDocument/2006/relationships/hyperlink" Target="https://doi.org/10.1080/0965254X.2016.1240219" TargetMode="External"/><Relationship Id="rId36" Type="http://schemas.openxmlformats.org/officeDocument/2006/relationships/fontTable" Target="fontTable.xml"/><Relationship Id="rId10" Type="http://schemas.openxmlformats.org/officeDocument/2006/relationships/hyperlink" Target="https://doi.org/10.3390/su70810135" TargetMode="External"/><Relationship Id="rId19" Type="http://schemas.openxmlformats.org/officeDocument/2006/relationships/hyperlink" Target="https://doi.org/10.1002/mar.21132" TargetMode="External"/><Relationship Id="rId31" Type="http://schemas.openxmlformats.org/officeDocument/2006/relationships/hyperlink" Target="https://doi.org/10.1108/BFJ-12-2013-0361" TargetMode="External"/><Relationship Id="rId4" Type="http://schemas.openxmlformats.org/officeDocument/2006/relationships/hyperlink" Target="mailto:Dewi.Rakhmawati@unmer.ac.id" TargetMode="External"/><Relationship Id="rId9" Type="http://schemas.openxmlformats.org/officeDocument/2006/relationships/hyperlink" Target="https://doi.org/10.3390/su70810135" TargetMode="External"/><Relationship Id="rId14" Type="http://schemas.openxmlformats.org/officeDocument/2006/relationships/hyperlink" Target="https://doi.org/10.1016/j.ijinfomgt.2019.11.001" TargetMode="External"/><Relationship Id="rId22" Type="http://schemas.openxmlformats.org/officeDocument/2006/relationships/hyperlink" Target="https://doi.org/10.1016/j.appet.2018.12.004" TargetMode="External"/><Relationship Id="rId27" Type="http://schemas.openxmlformats.org/officeDocument/2006/relationships/hyperlink" Target="https://doi.org/10.1016/j.jclepro.2019.04.218" TargetMode="External"/><Relationship Id="rId30" Type="http://schemas.openxmlformats.org/officeDocument/2006/relationships/hyperlink" Target="https://doi.org/10.1108/BFJ-12-2013-0361" TargetMode="External"/><Relationship Id="rId35" Type="http://schemas.openxmlformats.org/officeDocument/2006/relationships/hyperlink" Target="https://doi.org/10.1016/j.resconrec.2020.104721" TargetMode="External"/><Relationship Id="rId8" Type="http://schemas.openxmlformats.org/officeDocument/2006/relationships/hyperlink" Target="https://doi.org/10.1108/00251741211216250"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4497</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 rakhmawati</dc:creator>
  <cp:lastModifiedBy>dewi</cp:lastModifiedBy>
  <cp:revision>8</cp:revision>
  <dcterms:created xsi:type="dcterms:W3CDTF">2023-06-13T12:41:00Z</dcterms:created>
  <dcterms:modified xsi:type="dcterms:W3CDTF">2023-06-21T04:01:00Z</dcterms:modified>
</cp:coreProperties>
</file>